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0ECAA" w14:textId="07AF2EE6" w:rsidR="00522034" w:rsidRDefault="00522034" w:rsidP="00522034">
      <w:pPr>
        <w:pStyle w:val="p0"/>
        <w:spacing w:before="0" w:beforeAutospacing="0" w:after="0" w:afterAutospacing="0" w:line="390" w:lineRule="atLeast"/>
        <w:rPr>
          <w:rFonts w:ascii="Calibri" w:hAnsi="Calibri"/>
          <w:b/>
          <w:bCs/>
          <w:color w:val="000000"/>
          <w:sz w:val="32"/>
          <w:szCs w:val="32"/>
          <w:u w:val="single"/>
        </w:rPr>
      </w:pPr>
      <w:r>
        <w:rPr>
          <w:rFonts w:ascii="Calibri" w:hAnsi="Calibri"/>
          <w:b/>
          <w:bCs/>
          <w:color w:val="000000"/>
          <w:sz w:val="32"/>
          <w:szCs w:val="32"/>
          <w:u w:val="single"/>
        </w:rPr>
        <w:t>STRATEGY FOR THE US</w:t>
      </w:r>
      <w:r w:rsidR="00EB2165">
        <w:rPr>
          <w:rFonts w:ascii="Calibri" w:hAnsi="Calibri"/>
          <w:b/>
          <w:bCs/>
          <w:color w:val="000000"/>
          <w:sz w:val="32"/>
          <w:szCs w:val="32"/>
          <w:u w:val="single"/>
        </w:rPr>
        <w:t>E OF PUPIL PREMIUM FUNDING: 2017/18</w:t>
      </w:r>
    </w:p>
    <w:p w14:paraId="1E22D9F9" w14:textId="77777777" w:rsidR="00522034" w:rsidRDefault="00522034" w:rsidP="00522034">
      <w:pPr>
        <w:pStyle w:val="p1"/>
        <w:spacing w:before="180" w:beforeAutospacing="0" w:after="0" w:afterAutospacing="0" w:line="345" w:lineRule="atLeast"/>
        <w:rPr>
          <w:rFonts w:ascii="Calibri" w:hAnsi="Calibri"/>
          <w:b/>
          <w:bCs/>
          <w:color w:val="000000"/>
          <w:sz w:val="29"/>
          <w:szCs w:val="29"/>
        </w:rPr>
      </w:pPr>
      <w:r>
        <w:rPr>
          <w:rFonts w:ascii="Calibri" w:hAnsi="Calibri"/>
          <w:b/>
          <w:bCs/>
          <w:color w:val="000000"/>
          <w:sz w:val="29"/>
          <w:szCs w:val="29"/>
        </w:rPr>
        <w:t>LSA Rationale for our spending plans:</w:t>
      </w:r>
    </w:p>
    <w:p w14:paraId="65E5E550" w14:textId="3B7E41B9" w:rsidR="00522034" w:rsidRDefault="00B22D0E" w:rsidP="00522034">
      <w:pPr>
        <w:pStyle w:val="p2"/>
        <w:spacing w:before="165" w:beforeAutospacing="0" w:after="0" w:afterAutospacing="0" w:line="285" w:lineRule="atLeast"/>
        <w:jc w:val="both"/>
        <w:rPr>
          <w:rFonts w:ascii="Calibri" w:hAnsi="Calibri"/>
          <w:color w:val="000000"/>
          <w:sz w:val="23"/>
          <w:szCs w:val="23"/>
        </w:rPr>
      </w:pPr>
      <w:r>
        <w:rPr>
          <w:rFonts w:ascii="Calibri" w:hAnsi="Calibri"/>
          <w:color w:val="000000"/>
          <w:sz w:val="23"/>
          <w:szCs w:val="23"/>
        </w:rPr>
        <w:t xml:space="preserve">At LSA we are committed </w:t>
      </w:r>
      <w:r w:rsidR="00522034">
        <w:rPr>
          <w:rFonts w:ascii="Calibri" w:hAnsi="Calibri"/>
          <w:color w:val="000000"/>
          <w:sz w:val="23"/>
          <w:szCs w:val="23"/>
        </w:rPr>
        <w:t>to eradicating the variance in performance between our disadvantaged students and others. Our strategy has used robust internal data and close analysis of the needs of students, combined with research into best practice from national organizati</w:t>
      </w:r>
      <w:r w:rsidR="00E67602">
        <w:rPr>
          <w:rFonts w:ascii="Calibri" w:hAnsi="Calibri"/>
          <w:color w:val="000000"/>
          <w:sz w:val="23"/>
          <w:szCs w:val="23"/>
        </w:rPr>
        <w:t>ons such as the Sutton Trust alongside</w:t>
      </w:r>
      <w:r w:rsidR="00522034">
        <w:rPr>
          <w:rFonts w:ascii="Calibri" w:hAnsi="Calibri"/>
          <w:color w:val="000000"/>
          <w:sz w:val="23"/>
          <w:szCs w:val="23"/>
        </w:rPr>
        <w:t xml:space="preserve"> feedback from </w:t>
      </w:r>
      <w:r w:rsidR="00E67602">
        <w:rPr>
          <w:rFonts w:ascii="Calibri" w:hAnsi="Calibri"/>
          <w:color w:val="000000"/>
          <w:sz w:val="23"/>
          <w:szCs w:val="23"/>
        </w:rPr>
        <w:t xml:space="preserve">OFSTED and </w:t>
      </w:r>
      <w:r w:rsidR="00522034">
        <w:rPr>
          <w:rFonts w:ascii="Calibri" w:hAnsi="Calibri"/>
          <w:color w:val="000000"/>
          <w:sz w:val="23"/>
          <w:szCs w:val="23"/>
        </w:rPr>
        <w:t>external review</w:t>
      </w:r>
      <w:r w:rsidR="00E67602">
        <w:rPr>
          <w:rFonts w:ascii="Calibri" w:hAnsi="Calibri"/>
          <w:color w:val="000000"/>
          <w:sz w:val="23"/>
          <w:szCs w:val="23"/>
        </w:rPr>
        <w:t>s</w:t>
      </w:r>
      <w:r w:rsidR="00522034">
        <w:rPr>
          <w:rFonts w:ascii="Calibri" w:hAnsi="Calibri"/>
          <w:color w:val="000000"/>
          <w:sz w:val="23"/>
          <w:szCs w:val="23"/>
        </w:rPr>
        <w:t xml:space="preserve"> of our provision, to plan interventions to meet the needs of our students. While timely, short term intervention programmes in Key Stage 3 are clearly having a significant, positive impact on the progress made by our disadvantaged students, we strongly believe that consistent, outstanding teaching and the quality feedback that ensues, are the key to all children achieving their potential and this applies to an even greater extent to our disadvantaged students.</w:t>
      </w:r>
      <w:r>
        <w:rPr>
          <w:rFonts w:ascii="Calibri" w:hAnsi="Calibri"/>
          <w:color w:val="000000"/>
          <w:sz w:val="23"/>
          <w:szCs w:val="23"/>
        </w:rPr>
        <w:t xml:space="preserve"> We have invested in </w:t>
      </w:r>
      <w:r w:rsidR="00624941">
        <w:rPr>
          <w:rFonts w:ascii="Calibri" w:hAnsi="Calibri"/>
          <w:color w:val="000000"/>
          <w:sz w:val="23"/>
          <w:szCs w:val="23"/>
        </w:rPr>
        <w:t>a programme that over the last 4</w:t>
      </w:r>
      <w:r>
        <w:rPr>
          <w:rFonts w:ascii="Calibri" w:hAnsi="Calibri"/>
          <w:color w:val="000000"/>
          <w:sz w:val="23"/>
          <w:szCs w:val="23"/>
        </w:rPr>
        <w:t xml:space="preserve"> years has focused on tackling lower prior attainment at KS3, repl</w:t>
      </w:r>
      <w:r w:rsidR="00624941">
        <w:rPr>
          <w:rFonts w:ascii="Calibri" w:hAnsi="Calibri"/>
          <w:color w:val="000000"/>
          <w:sz w:val="23"/>
          <w:szCs w:val="23"/>
        </w:rPr>
        <w:t>acing missing building blocks of</w:t>
      </w:r>
      <w:r>
        <w:rPr>
          <w:rFonts w:ascii="Calibri" w:hAnsi="Calibri"/>
          <w:color w:val="000000"/>
          <w:sz w:val="23"/>
          <w:szCs w:val="23"/>
        </w:rPr>
        <w:t xml:space="preserve"> learning in core subjects to create sustained improvements </w:t>
      </w:r>
      <w:r w:rsidR="00B22928">
        <w:rPr>
          <w:rFonts w:ascii="Calibri" w:hAnsi="Calibri"/>
          <w:color w:val="000000"/>
          <w:sz w:val="23"/>
          <w:szCs w:val="23"/>
        </w:rPr>
        <w:t xml:space="preserve">into KS4 and beyond </w:t>
      </w:r>
      <w:bookmarkStart w:id="0" w:name="_GoBack"/>
      <w:bookmarkEnd w:id="0"/>
      <w:r>
        <w:rPr>
          <w:rFonts w:ascii="Calibri" w:hAnsi="Calibri"/>
          <w:color w:val="000000"/>
          <w:sz w:val="23"/>
          <w:szCs w:val="23"/>
        </w:rPr>
        <w:t>rather than focusing on quick fixes.</w:t>
      </w:r>
    </w:p>
    <w:p w14:paraId="6CD9FB16" w14:textId="6E126233" w:rsidR="00522034" w:rsidRDefault="00522034" w:rsidP="00522034">
      <w:pPr>
        <w:pStyle w:val="p3"/>
        <w:spacing w:before="210" w:beforeAutospacing="0" w:after="0" w:afterAutospacing="0" w:line="270" w:lineRule="atLeast"/>
        <w:rPr>
          <w:rFonts w:ascii="Calibri" w:hAnsi="Calibri"/>
          <w:color w:val="000000"/>
          <w:sz w:val="23"/>
          <w:szCs w:val="23"/>
        </w:rPr>
      </w:pPr>
      <w:r>
        <w:rPr>
          <w:rFonts w:ascii="Calibri" w:hAnsi="Calibri"/>
          <w:color w:val="000000"/>
          <w:sz w:val="23"/>
          <w:szCs w:val="23"/>
        </w:rPr>
        <w:t>For</w:t>
      </w:r>
      <w:r>
        <w:rPr>
          <w:rStyle w:val="apple-converted-space"/>
          <w:rFonts w:ascii="Calibri" w:hAnsi="Calibri"/>
          <w:color w:val="000000"/>
          <w:sz w:val="23"/>
          <w:szCs w:val="23"/>
        </w:rPr>
        <w:t> </w:t>
      </w:r>
      <w:r w:rsidR="00624941">
        <w:rPr>
          <w:rFonts w:ascii="Calibri" w:hAnsi="Calibri"/>
          <w:color w:val="000000"/>
          <w:sz w:val="23"/>
          <w:szCs w:val="23"/>
        </w:rPr>
        <w:t>2017-18</w:t>
      </w:r>
      <w:r>
        <w:rPr>
          <w:rStyle w:val="apple-converted-space"/>
          <w:rFonts w:ascii="Calibri" w:hAnsi="Calibri"/>
          <w:color w:val="000000"/>
          <w:sz w:val="23"/>
          <w:szCs w:val="23"/>
        </w:rPr>
        <w:t> </w:t>
      </w:r>
      <w:r>
        <w:rPr>
          <w:rFonts w:ascii="Calibri" w:hAnsi="Calibri"/>
          <w:color w:val="000000"/>
          <w:sz w:val="23"/>
          <w:szCs w:val="23"/>
        </w:rPr>
        <w:t>we have identified the following main barriers to progress</w:t>
      </w:r>
    </w:p>
    <w:p w14:paraId="64EC186C" w14:textId="174C2FD7" w:rsidR="00624941" w:rsidRDefault="3641494C" w:rsidP="00624941">
      <w:pPr>
        <w:pStyle w:val="p4"/>
        <w:numPr>
          <w:ilvl w:val="0"/>
          <w:numId w:val="1"/>
        </w:numPr>
        <w:spacing w:before="180" w:beforeAutospacing="0" w:after="0" w:afterAutospacing="0" w:line="270" w:lineRule="atLeast"/>
        <w:jc w:val="both"/>
        <w:rPr>
          <w:rFonts w:asciiTheme="minorHAnsi" w:eastAsiaTheme="minorEastAsia" w:hAnsiTheme="minorHAnsi" w:cstheme="minorBidi"/>
          <w:color w:val="000000" w:themeColor="text1"/>
          <w:sz w:val="23"/>
          <w:szCs w:val="23"/>
        </w:rPr>
      </w:pPr>
      <w:r w:rsidRPr="3641494C">
        <w:rPr>
          <w:rStyle w:val="ft6"/>
          <w:rFonts w:ascii="Calibri" w:eastAsia="Calibri" w:hAnsi="Calibri" w:cs="Calibri"/>
          <w:b/>
          <w:bCs/>
          <w:color w:val="000000" w:themeColor="text1"/>
          <w:sz w:val="23"/>
          <w:szCs w:val="23"/>
        </w:rPr>
        <w:t>Low prior attainment in Key Stage 2 (KS2) by disadvantaged students compared</w:t>
      </w:r>
      <w:r w:rsidR="008419F6">
        <w:rPr>
          <w:rStyle w:val="ft6"/>
          <w:rFonts w:ascii="Calibri" w:eastAsia="Calibri" w:hAnsi="Calibri" w:cs="Calibri"/>
          <w:b/>
          <w:bCs/>
          <w:color w:val="000000" w:themeColor="text1"/>
          <w:sz w:val="23"/>
          <w:szCs w:val="23"/>
        </w:rPr>
        <w:t xml:space="preserve"> to other students,</w:t>
      </w:r>
      <w:r w:rsidRPr="3641494C">
        <w:rPr>
          <w:rStyle w:val="ft6"/>
          <w:rFonts w:ascii="Calibri" w:eastAsia="Calibri" w:hAnsi="Calibri" w:cs="Calibri"/>
          <w:b/>
          <w:bCs/>
          <w:color w:val="000000" w:themeColor="text1"/>
          <w:sz w:val="23"/>
          <w:szCs w:val="23"/>
        </w:rPr>
        <w:t xml:space="preserve"> in</w:t>
      </w:r>
      <w:r w:rsidR="008419F6">
        <w:rPr>
          <w:rStyle w:val="ft6"/>
          <w:rFonts w:ascii="Calibri" w:eastAsia="Calibri" w:hAnsi="Calibri" w:cs="Calibri"/>
          <w:b/>
          <w:bCs/>
          <w:color w:val="000000" w:themeColor="text1"/>
          <w:sz w:val="23"/>
          <w:szCs w:val="23"/>
        </w:rPr>
        <w:t xml:space="preserve"> core subjects</w:t>
      </w:r>
      <w:r w:rsidRPr="3641494C">
        <w:rPr>
          <w:rStyle w:val="ft6"/>
          <w:rFonts w:ascii="Calibri" w:eastAsia="Calibri" w:hAnsi="Calibri" w:cs="Calibri"/>
          <w:b/>
          <w:bCs/>
          <w:color w:val="000000" w:themeColor="text1"/>
          <w:sz w:val="23"/>
          <w:szCs w:val="23"/>
        </w:rPr>
        <w:t>. Our strategy sets out to address this in Key Stage 3 (KS3).</w:t>
      </w:r>
    </w:p>
    <w:p w14:paraId="01AB1E17" w14:textId="151F1818" w:rsidR="00522034" w:rsidRPr="00624941" w:rsidRDefault="3641494C" w:rsidP="00624941">
      <w:pPr>
        <w:pStyle w:val="p4"/>
        <w:numPr>
          <w:ilvl w:val="0"/>
          <w:numId w:val="1"/>
        </w:numPr>
        <w:spacing w:before="180" w:beforeAutospacing="0" w:after="0" w:afterAutospacing="0" w:line="270" w:lineRule="atLeast"/>
        <w:jc w:val="both"/>
        <w:rPr>
          <w:rFonts w:asciiTheme="minorHAnsi" w:eastAsiaTheme="minorEastAsia" w:hAnsiTheme="minorHAnsi" w:cstheme="minorBidi"/>
          <w:color w:val="000000" w:themeColor="text1"/>
          <w:sz w:val="23"/>
          <w:szCs w:val="23"/>
        </w:rPr>
      </w:pPr>
      <w:r w:rsidRPr="00624941">
        <w:rPr>
          <w:rStyle w:val="ft6"/>
          <w:rFonts w:ascii="Calibri" w:eastAsia="Calibri" w:hAnsi="Calibri" w:cs="Calibri"/>
          <w:b/>
          <w:bCs/>
          <w:color w:val="000000" w:themeColor="text1"/>
          <w:sz w:val="23"/>
          <w:szCs w:val="23"/>
        </w:rPr>
        <w:t>Social, emotional and practical barriers to learning for our disadvantaged. Our strategy sets out to identify and address these barriers on an individual basis.</w:t>
      </w:r>
    </w:p>
    <w:p w14:paraId="483AFCC5" w14:textId="0587039E" w:rsidR="00522034" w:rsidRDefault="00DF55D4" w:rsidP="3641494C">
      <w:pPr>
        <w:pStyle w:val="p6"/>
        <w:numPr>
          <w:ilvl w:val="0"/>
          <w:numId w:val="1"/>
        </w:numPr>
        <w:spacing w:before="30" w:beforeAutospacing="0" w:after="0" w:afterAutospacing="0" w:line="270" w:lineRule="atLeast"/>
        <w:jc w:val="both"/>
        <w:rPr>
          <w:rFonts w:asciiTheme="minorHAnsi" w:eastAsiaTheme="minorEastAsia" w:hAnsiTheme="minorHAnsi" w:cstheme="minorBidi"/>
          <w:color w:val="000000" w:themeColor="text1"/>
          <w:sz w:val="23"/>
          <w:szCs w:val="23"/>
        </w:rPr>
      </w:pPr>
      <w:r>
        <w:rPr>
          <w:rStyle w:val="ft6"/>
          <w:rFonts w:ascii="Calibri" w:eastAsia="Calibri" w:hAnsi="Calibri" w:cs="Calibri"/>
          <w:b/>
          <w:bCs/>
          <w:color w:val="000000" w:themeColor="text1"/>
          <w:sz w:val="23"/>
          <w:szCs w:val="23"/>
        </w:rPr>
        <w:t xml:space="preserve">Lower levels of parental engagement with school and learning in general. </w:t>
      </w:r>
      <w:r w:rsidR="00EC0634">
        <w:rPr>
          <w:rStyle w:val="ft6"/>
          <w:rFonts w:ascii="Calibri" w:eastAsia="Calibri" w:hAnsi="Calibri" w:cs="Calibri"/>
          <w:b/>
          <w:bCs/>
          <w:color w:val="000000" w:themeColor="text1"/>
          <w:sz w:val="23"/>
          <w:szCs w:val="23"/>
        </w:rPr>
        <w:t xml:space="preserve">Including </w:t>
      </w:r>
      <w:r>
        <w:rPr>
          <w:rStyle w:val="ft6"/>
          <w:rFonts w:ascii="Calibri" w:eastAsia="Calibri" w:hAnsi="Calibri" w:cs="Calibri"/>
          <w:b/>
          <w:bCs/>
          <w:color w:val="000000" w:themeColor="text1"/>
          <w:sz w:val="23"/>
          <w:szCs w:val="23"/>
        </w:rPr>
        <w:t>fewer opportunities to engage in</w:t>
      </w:r>
      <w:r w:rsidR="3641494C" w:rsidRPr="3641494C">
        <w:rPr>
          <w:rStyle w:val="ft6"/>
          <w:rFonts w:ascii="Calibri" w:eastAsia="Calibri" w:hAnsi="Calibri" w:cs="Calibri"/>
          <w:b/>
          <w:bCs/>
          <w:color w:val="000000" w:themeColor="text1"/>
          <w:sz w:val="23"/>
          <w:szCs w:val="23"/>
        </w:rPr>
        <w:t xml:space="preserve"> learning outside school/in the home environment</w:t>
      </w:r>
    </w:p>
    <w:p w14:paraId="2E0C4CCC" w14:textId="7E1E6D63" w:rsidR="00522034" w:rsidRDefault="3641494C" w:rsidP="3641494C">
      <w:pPr>
        <w:pStyle w:val="p7"/>
        <w:numPr>
          <w:ilvl w:val="0"/>
          <w:numId w:val="1"/>
        </w:numPr>
        <w:spacing w:before="30" w:beforeAutospacing="0" w:after="0" w:afterAutospacing="0" w:line="270" w:lineRule="atLeast"/>
        <w:jc w:val="both"/>
        <w:rPr>
          <w:rFonts w:asciiTheme="minorHAnsi" w:eastAsiaTheme="minorEastAsia" w:hAnsiTheme="minorHAnsi" w:cstheme="minorBidi"/>
          <w:color w:val="000000" w:themeColor="text1"/>
          <w:sz w:val="23"/>
          <w:szCs w:val="23"/>
        </w:rPr>
      </w:pPr>
      <w:r w:rsidRPr="3641494C">
        <w:rPr>
          <w:rStyle w:val="ft6"/>
          <w:rFonts w:ascii="Calibri" w:eastAsia="Calibri" w:hAnsi="Calibri" w:cs="Calibri"/>
          <w:b/>
          <w:bCs/>
          <w:color w:val="000000" w:themeColor="text1"/>
          <w:sz w:val="23"/>
          <w:szCs w:val="23"/>
        </w:rPr>
        <w:t>The quality of teaching: all students benefit from being well taught but disadvantaged students benefit the most</w:t>
      </w:r>
    </w:p>
    <w:p w14:paraId="31B2D3AB" w14:textId="76665547" w:rsidR="00522034" w:rsidRDefault="3641494C" w:rsidP="3641494C">
      <w:pPr>
        <w:pStyle w:val="p8"/>
        <w:numPr>
          <w:ilvl w:val="0"/>
          <w:numId w:val="1"/>
        </w:numPr>
        <w:spacing w:before="30" w:beforeAutospacing="0" w:after="0" w:afterAutospacing="0" w:line="270" w:lineRule="atLeast"/>
        <w:jc w:val="both"/>
        <w:rPr>
          <w:rFonts w:asciiTheme="minorHAnsi" w:eastAsiaTheme="minorEastAsia" w:hAnsiTheme="minorHAnsi" w:cstheme="minorBidi"/>
          <w:color w:val="000000" w:themeColor="text1"/>
          <w:sz w:val="23"/>
          <w:szCs w:val="23"/>
        </w:rPr>
      </w:pPr>
      <w:r w:rsidRPr="3641494C">
        <w:rPr>
          <w:rStyle w:val="ft6"/>
          <w:rFonts w:ascii="Calibri" w:eastAsia="Calibri" w:hAnsi="Calibri" w:cs="Calibri"/>
          <w:b/>
          <w:bCs/>
          <w:color w:val="000000" w:themeColor="text1"/>
          <w:sz w:val="23"/>
          <w:szCs w:val="23"/>
        </w:rPr>
        <w:t>Poorer attendance at school by disadvantaged students compared to other students. Our strategy sets out to ensure our disadvantaged students are in school.</w:t>
      </w:r>
    </w:p>
    <w:p w14:paraId="4CD850F7" w14:textId="77777777" w:rsidR="00522034" w:rsidRDefault="00522034" w:rsidP="00522034">
      <w:pPr>
        <w:pStyle w:val="p9"/>
        <w:spacing w:before="210" w:beforeAutospacing="0" w:after="0" w:afterAutospacing="0" w:line="270" w:lineRule="atLeast"/>
        <w:rPr>
          <w:rFonts w:ascii="Calibri" w:hAnsi="Calibri"/>
          <w:color w:val="000000"/>
          <w:sz w:val="23"/>
          <w:szCs w:val="23"/>
        </w:rPr>
      </w:pPr>
      <w:r>
        <w:rPr>
          <w:rFonts w:ascii="Calibri" w:hAnsi="Calibri"/>
          <w:color w:val="000000"/>
          <w:sz w:val="23"/>
          <w:szCs w:val="23"/>
        </w:rPr>
        <w:t>These spending plans will be subject to change dependent on the evolving needs of the PP students at LSA. This is also based initially on an indicative budget.</w:t>
      </w:r>
    </w:p>
    <w:p w14:paraId="64A6C2CF" w14:textId="77777777" w:rsidR="00522034" w:rsidRDefault="00522034" w:rsidP="00522034">
      <w:pPr>
        <w:pStyle w:val="p9"/>
        <w:spacing w:before="210" w:beforeAutospacing="0" w:after="0" w:afterAutospacing="0" w:line="270" w:lineRule="atLeast"/>
        <w:rPr>
          <w:rFonts w:ascii="Calibri" w:hAnsi="Calibri"/>
          <w:color w:val="000000"/>
          <w:sz w:val="23"/>
          <w:szCs w:val="23"/>
        </w:rPr>
      </w:pPr>
    </w:p>
    <w:tbl>
      <w:tblPr>
        <w:tblStyle w:val="TableGrid"/>
        <w:tblW w:w="0" w:type="auto"/>
        <w:tblLook w:val="04A0" w:firstRow="1" w:lastRow="0" w:firstColumn="1" w:lastColumn="0" w:noHBand="0" w:noVBand="1"/>
      </w:tblPr>
      <w:tblGrid>
        <w:gridCol w:w="6941"/>
        <w:gridCol w:w="2075"/>
      </w:tblGrid>
      <w:tr w:rsidR="00522034" w14:paraId="4210DC66" w14:textId="77777777" w:rsidTr="00121AE3">
        <w:tc>
          <w:tcPr>
            <w:tcW w:w="6941" w:type="dxa"/>
          </w:tcPr>
          <w:p w14:paraId="1A27A644" w14:textId="08EE710A" w:rsidR="00522034" w:rsidRPr="00522034" w:rsidRDefault="00EC0634" w:rsidP="3641494C">
            <w:pPr>
              <w:pStyle w:val="p9"/>
              <w:spacing w:before="210" w:beforeAutospacing="0" w:after="0" w:afterAutospacing="0" w:line="270" w:lineRule="atLeast"/>
              <w:rPr>
                <w:rFonts w:ascii="Calibri" w:eastAsia="Calibri" w:hAnsi="Calibri" w:cs="Calibri"/>
                <w:b/>
                <w:bCs/>
                <w:color w:val="000000" w:themeColor="text1"/>
                <w:sz w:val="23"/>
                <w:szCs w:val="23"/>
              </w:rPr>
            </w:pPr>
            <w:r>
              <w:rPr>
                <w:rFonts w:ascii="Calibri" w:eastAsia="Calibri" w:hAnsi="Calibri" w:cs="Calibri"/>
                <w:b/>
                <w:bCs/>
                <w:color w:val="000000" w:themeColor="text1"/>
                <w:sz w:val="23"/>
                <w:szCs w:val="23"/>
              </w:rPr>
              <w:t>The total PP Grant  is estimated at £</w:t>
            </w:r>
            <w:r w:rsidR="008419F6">
              <w:rPr>
                <w:rFonts w:ascii="Calibri" w:eastAsia="Calibri" w:hAnsi="Calibri" w:cs="Calibri"/>
                <w:b/>
                <w:bCs/>
                <w:color w:val="000000" w:themeColor="text1"/>
                <w:sz w:val="23"/>
                <w:szCs w:val="23"/>
              </w:rPr>
              <w:t>270,190</w:t>
            </w:r>
          </w:p>
        </w:tc>
        <w:tc>
          <w:tcPr>
            <w:tcW w:w="2075" w:type="dxa"/>
          </w:tcPr>
          <w:p w14:paraId="620D17D9" w14:textId="77777777" w:rsidR="00522034" w:rsidRPr="00522034" w:rsidRDefault="00522034" w:rsidP="00522034">
            <w:pPr>
              <w:pStyle w:val="p9"/>
              <w:spacing w:before="210" w:beforeAutospacing="0" w:after="0" w:afterAutospacing="0" w:line="270" w:lineRule="atLeast"/>
              <w:rPr>
                <w:rFonts w:ascii="Calibri" w:hAnsi="Calibri"/>
                <w:b/>
                <w:color w:val="000000"/>
                <w:sz w:val="23"/>
                <w:szCs w:val="23"/>
              </w:rPr>
            </w:pPr>
            <w:r>
              <w:rPr>
                <w:rFonts w:ascii="Calibri" w:hAnsi="Calibri"/>
                <w:b/>
                <w:bCs/>
                <w:color w:val="000000"/>
                <w:sz w:val="23"/>
                <w:szCs w:val="23"/>
              </w:rPr>
              <w:t>Estimated costs in £s</w:t>
            </w:r>
          </w:p>
        </w:tc>
      </w:tr>
      <w:tr w:rsidR="00522034" w14:paraId="5DB78A9D" w14:textId="77777777" w:rsidTr="00121AE3">
        <w:tc>
          <w:tcPr>
            <w:tcW w:w="6941" w:type="dxa"/>
          </w:tcPr>
          <w:p w14:paraId="1578B7C1" w14:textId="4C25C6D8" w:rsidR="3641494C" w:rsidRDefault="3641494C" w:rsidP="3641494C">
            <w:pPr>
              <w:pStyle w:val="p9"/>
              <w:spacing w:before="210" w:beforeAutospacing="0" w:after="0" w:afterAutospacing="0" w:line="270" w:lineRule="atLeast"/>
              <w:rPr>
                <w:rFonts w:ascii="Calibri" w:eastAsia="Calibri" w:hAnsi="Calibri" w:cs="Calibri"/>
                <w:b/>
                <w:bCs/>
                <w:color w:val="000000" w:themeColor="text1"/>
                <w:sz w:val="23"/>
                <w:szCs w:val="23"/>
              </w:rPr>
            </w:pPr>
          </w:p>
          <w:p w14:paraId="7AE9679F" w14:textId="77777777" w:rsidR="00522034" w:rsidRDefault="3641494C" w:rsidP="00522034">
            <w:pPr>
              <w:pStyle w:val="p9"/>
              <w:spacing w:before="210" w:beforeAutospacing="0" w:after="0" w:afterAutospacing="0" w:line="270" w:lineRule="atLeast"/>
              <w:rPr>
                <w:rFonts w:ascii="Calibri" w:hAnsi="Calibri"/>
                <w:color w:val="000000"/>
                <w:sz w:val="21"/>
                <w:szCs w:val="21"/>
              </w:rPr>
            </w:pPr>
            <w:r w:rsidRPr="3641494C">
              <w:rPr>
                <w:rFonts w:ascii="Calibri" w:eastAsia="Calibri" w:hAnsi="Calibri" w:cs="Calibri"/>
                <w:b/>
                <w:bCs/>
                <w:color w:val="000000" w:themeColor="text1"/>
                <w:sz w:val="23"/>
                <w:szCs w:val="23"/>
              </w:rPr>
              <w:t>Barrier 1 - Low prior attainment in English and Maths.</w:t>
            </w:r>
          </w:p>
          <w:p w14:paraId="75469880" w14:textId="084F8277" w:rsidR="00EB2165" w:rsidRPr="00EB2165" w:rsidRDefault="00EB2165" w:rsidP="00522034">
            <w:pPr>
              <w:pStyle w:val="p9"/>
              <w:spacing w:before="210" w:beforeAutospacing="0" w:after="0" w:afterAutospacing="0" w:line="270" w:lineRule="atLeast"/>
              <w:rPr>
                <w:rFonts w:ascii="Calibri" w:hAnsi="Calibri"/>
                <w:i/>
                <w:color w:val="000000"/>
                <w:sz w:val="21"/>
                <w:szCs w:val="21"/>
              </w:rPr>
            </w:pPr>
            <w:r w:rsidRPr="00EB2165">
              <w:rPr>
                <w:rFonts w:ascii="Calibri" w:eastAsia="Calibri" w:hAnsi="Calibri" w:cs="Calibri"/>
                <w:bCs/>
                <w:color w:val="000000" w:themeColor="text1"/>
                <w:sz w:val="23"/>
                <w:szCs w:val="23"/>
              </w:rPr>
              <w:t>Employment of</w:t>
            </w:r>
            <w:r>
              <w:rPr>
                <w:rFonts w:ascii="Calibri" w:hAnsi="Calibri"/>
                <w:color w:val="000000"/>
                <w:sz w:val="21"/>
                <w:szCs w:val="21"/>
              </w:rPr>
              <w:t xml:space="preserve"> subject specialist</w:t>
            </w:r>
            <w:r w:rsidR="00522034">
              <w:rPr>
                <w:rFonts w:ascii="Calibri" w:hAnsi="Calibri"/>
                <w:color w:val="000000"/>
                <w:sz w:val="21"/>
                <w:szCs w:val="21"/>
              </w:rPr>
              <w:t xml:space="preserve"> Higher Level Teaching Assistants (HLTAs)</w:t>
            </w:r>
            <w:r>
              <w:rPr>
                <w:rFonts w:ascii="Calibri" w:hAnsi="Calibri"/>
                <w:color w:val="000000"/>
                <w:sz w:val="21"/>
                <w:szCs w:val="21"/>
              </w:rPr>
              <w:t xml:space="preserve"> and TAs</w:t>
            </w:r>
            <w:r w:rsidR="00522034">
              <w:rPr>
                <w:rFonts w:ascii="Calibri" w:hAnsi="Calibri"/>
                <w:color w:val="000000"/>
                <w:sz w:val="21"/>
                <w:szCs w:val="21"/>
              </w:rPr>
              <w:t xml:space="preserve">. </w:t>
            </w:r>
            <w:r w:rsidR="00522034" w:rsidRPr="00EB2165">
              <w:rPr>
                <w:rFonts w:ascii="Calibri" w:hAnsi="Calibri"/>
                <w:i/>
                <w:color w:val="000000"/>
                <w:sz w:val="21"/>
                <w:szCs w:val="21"/>
              </w:rPr>
              <w:t>The core of our PP Intervention programme has been built around developing</w:t>
            </w:r>
            <w:r>
              <w:rPr>
                <w:rFonts w:ascii="Calibri" w:hAnsi="Calibri"/>
                <w:i/>
                <w:color w:val="000000"/>
                <w:sz w:val="21"/>
                <w:szCs w:val="21"/>
              </w:rPr>
              <w:t xml:space="preserve"> highly effective TA teams now fully integrated into the English and Maths teams. The highly skilled English and Maths teams provide </w:t>
            </w:r>
            <w:r w:rsidR="00522034" w:rsidRPr="00EB2165">
              <w:rPr>
                <w:rFonts w:ascii="Calibri" w:hAnsi="Calibri"/>
                <w:i/>
                <w:color w:val="000000"/>
                <w:sz w:val="21"/>
                <w:szCs w:val="21"/>
              </w:rPr>
              <w:t xml:space="preserve">support </w:t>
            </w:r>
            <w:r>
              <w:rPr>
                <w:rFonts w:ascii="Calibri" w:hAnsi="Calibri"/>
                <w:i/>
                <w:color w:val="000000"/>
                <w:sz w:val="21"/>
                <w:szCs w:val="21"/>
              </w:rPr>
              <w:t xml:space="preserve">to </w:t>
            </w:r>
            <w:r w:rsidRPr="00EB2165">
              <w:rPr>
                <w:rFonts w:ascii="Calibri" w:hAnsi="Calibri"/>
                <w:i/>
                <w:color w:val="000000"/>
                <w:sz w:val="21"/>
                <w:szCs w:val="21"/>
              </w:rPr>
              <w:t xml:space="preserve">targeted students at Wave 1, </w:t>
            </w:r>
            <w:r w:rsidR="00522034" w:rsidRPr="00EB2165">
              <w:rPr>
                <w:rFonts w:ascii="Calibri" w:hAnsi="Calibri"/>
                <w:i/>
                <w:color w:val="000000"/>
                <w:sz w:val="21"/>
                <w:szCs w:val="21"/>
              </w:rPr>
              <w:t>the delivery of Wave 2 (additional subject support provided to small groups) and Wave 3 (</w:t>
            </w:r>
            <w:r w:rsidRPr="00EB2165">
              <w:rPr>
                <w:rFonts w:ascii="Calibri" w:hAnsi="Calibri"/>
                <w:i/>
                <w:color w:val="000000"/>
                <w:sz w:val="21"/>
                <w:szCs w:val="21"/>
              </w:rPr>
              <w:t>Numeracy and Literacy support</w:t>
            </w:r>
            <w:r w:rsidR="00522034" w:rsidRPr="00EB2165">
              <w:rPr>
                <w:rFonts w:ascii="Calibri" w:hAnsi="Calibri"/>
                <w:i/>
                <w:color w:val="000000"/>
                <w:sz w:val="21"/>
                <w:szCs w:val="21"/>
              </w:rPr>
              <w:t xml:space="preserve">) intervention programmes. </w:t>
            </w:r>
          </w:p>
          <w:p w14:paraId="4018F411" w14:textId="72EE72BE" w:rsidR="00522034" w:rsidRDefault="00EB2165" w:rsidP="00522034">
            <w:pPr>
              <w:pStyle w:val="p9"/>
              <w:spacing w:before="210" w:beforeAutospacing="0" w:after="0" w:afterAutospacing="0" w:line="270" w:lineRule="atLeast"/>
              <w:rPr>
                <w:rFonts w:ascii="Calibri" w:hAnsi="Calibri"/>
                <w:color w:val="000000"/>
                <w:sz w:val="21"/>
                <w:szCs w:val="21"/>
              </w:rPr>
            </w:pPr>
            <w:r>
              <w:rPr>
                <w:rFonts w:ascii="Calibri" w:hAnsi="Calibri"/>
                <w:color w:val="000000"/>
                <w:sz w:val="21"/>
                <w:szCs w:val="21"/>
              </w:rPr>
              <w:lastRenderedPageBreak/>
              <w:t>With ongoing</w:t>
            </w:r>
            <w:r w:rsidR="00522034">
              <w:rPr>
                <w:rFonts w:ascii="Calibri" w:hAnsi="Calibri"/>
                <w:color w:val="000000"/>
                <w:sz w:val="21"/>
                <w:szCs w:val="21"/>
              </w:rPr>
              <w:t xml:space="preserve"> </w:t>
            </w:r>
            <w:r>
              <w:rPr>
                <w:rFonts w:ascii="Calibri" w:hAnsi="Calibri"/>
                <w:color w:val="000000"/>
                <w:sz w:val="21"/>
                <w:szCs w:val="21"/>
              </w:rPr>
              <w:t xml:space="preserve">significant </w:t>
            </w:r>
            <w:r w:rsidR="00522034">
              <w:rPr>
                <w:rFonts w:ascii="Calibri" w:hAnsi="Calibri"/>
                <w:color w:val="000000"/>
                <w:sz w:val="21"/>
                <w:szCs w:val="21"/>
              </w:rPr>
              <w:t>number</w:t>
            </w:r>
            <w:r>
              <w:rPr>
                <w:rFonts w:ascii="Calibri" w:hAnsi="Calibri"/>
                <w:color w:val="000000"/>
                <w:sz w:val="21"/>
                <w:szCs w:val="21"/>
              </w:rPr>
              <w:t>s</w:t>
            </w:r>
            <w:r w:rsidR="00522034">
              <w:rPr>
                <w:rFonts w:ascii="Calibri" w:hAnsi="Calibri"/>
                <w:color w:val="000000"/>
                <w:sz w:val="21"/>
                <w:szCs w:val="21"/>
              </w:rPr>
              <w:t xml:space="preserve"> of students entering bel</w:t>
            </w:r>
            <w:r w:rsidR="00E81BDC">
              <w:rPr>
                <w:rFonts w:ascii="Calibri" w:hAnsi="Calibri"/>
                <w:color w:val="000000"/>
                <w:sz w:val="21"/>
                <w:szCs w:val="21"/>
              </w:rPr>
              <w:t>ow the expected standard</w:t>
            </w:r>
            <w:r>
              <w:rPr>
                <w:rFonts w:ascii="Calibri" w:hAnsi="Calibri"/>
                <w:color w:val="000000"/>
                <w:sz w:val="21"/>
                <w:szCs w:val="21"/>
              </w:rPr>
              <w:t>,</w:t>
            </w:r>
            <w:r w:rsidR="00E81BDC">
              <w:rPr>
                <w:rFonts w:ascii="Calibri" w:hAnsi="Calibri"/>
                <w:color w:val="000000"/>
                <w:sz w:val="21"/>
                <w:szCs w:val="21"/>
              </w:rPr>
              <w:t xml:space="preserve"> we continue to</w:t>
            </w:r>
            <w:r w:rsidR="00522034">
              <w:rPr>
                <w:rFonts w:ascii="Calibri" w:hAnsi="Calibri"/>
                <w:color w:val="000000"/>
                <w:sz w:val="21"/>
                <w:szCs w:val="21"/>
              </w:rPr>
              <w:t xml:space="preserve"> develop</w:t>
            </w:r>
            <w:r w:rsidR="00E81BDC">
              <w:rPr>
                <w:rFonts w:ascii="Calibri" w:hAnsi="Calibri"/>
                <w:color w:val="000000"/>
                <w:sz w:val="21"/>
                <w:szCs w:val="21"/>
              </w:rPr>
              <w:t xml:space="preserve"> our</w:t>
            </w:r>
            <w:r w:rsidR="00522034">
              <w:rPr>
                <w:rFonts w:ascii="Calibri" w:hAnsi="Calibri"/>
                <w:color w:val="000000"/>
                <w:sz w:val="21"/>
                <w:szCs w:val="21"/>
              </w:rPr>
              <w:t xml:space="preserve"> KS2 expertise within the team of staff to support differentiation and lead interventions. This includes a Prima</w:t>
            </w:r>
            <w:r w:rsidR="00E81BDC">
              <w:rPr>
                <w:rFonts w:ascii="Calibri" w:hAnsi="Calibri"/>
                <w:color w:val="000000"/>
                <w:sz w:val="21"/>
                <w:szCs w:val="21"/>
              </w:rPr>
              <w:t>ry Trained Teacher</w:t>
            </w:r>
            <w:r w:rsidR="00522034">
              <w:rPr>
                <w:rFonts w:ascii="Calibri" w:hAnsi="Calibri"/>
                <w:color w:val="000000"/>
                <w:sz w:val="21"/>
                <w:szCs w:val="21"/>
              </w:rPr>
              <w:t xml:space="preserve"> employed for 2 days a week to work w</w:t>
            </w:r>
            <w:r w:rsidR="00E81BDC">
              <w:rPr>
                <w:rFonts w:ascii="Calibri" w:hAnsi="Calibri"/>
                <w:color w:val="000000"/>
                <w:sz w:val="21"/>
                <w:szCs w:val="21"/>
              </w:rPr>
              <w:t>ithin the English Department to provide</w:t>
            </w:r>
            <w:r w:rsidR="00522034">
              <w:rPr>
                <w:rFonts w:ascii="Calibri" w:hAnsi="Calibri"/>
                <w:color w:val="000000"/>
                <w:sz w:val="21"/>
                <w:szCs w:val="21"/>
              </w:rPr>
              <w:t xml:space="preserve"> specialist input from an appropri</w:t>
            </w:r>
            <w:r w:rsidR="00E81BDC">
              <w:rPr>
                <w:rFonts w:ascii="Calibri" w:hAnsi="Calibri"/>
                <w:color w:val="000000"/>
                <w:sz w:val="21"/>
                <w:szCs w:val="21"/>
              </w:rPr>
              <w:t>ately qualified teacher along with three other p</w:t>
            </w:r>
            <w:r w:rsidR="00522034">
              <w:rPr>
                <w:rFonts w:ascii="Calibri" w:hAnsi="Calibri"/>
                <w:color w:val="000000"/>
                <w:sz w:val="21"/>
                <w:szCs w:val="21"/>
              </w:rPr>
              <w:t>rimary trained teachers in TA roles.</w:t>
            </w:r>
          </w:p>
          <w:p w14:paraId="72B02FF9" w14:textId="77777777" w:rsidR="00121AE3" w:rsidRDefault="00121AE3" w:rsidP="00522034"/>
          <w:p w14:paraId="6798A768" w14:textId="0BD12CCB" w:rsidR="00522034" w:rsidRDefault="00522034" w:rsidP="00522034">
            <w:r>
              <w:t>English “Primary” Teacher 2/3 salary</w:t>
            </w:r>
          </w:p>
          <w:p w14:paraId="5D4C5164" w14:textId="77777777" w:rsidR="00522034" w:rsidRDefault="00522034" w:rsidP="00522034">
            <w:r>
              <w:t>Homework and Breakfast clubs for PP in English and Maths</w:t>
            </w:r>
          </w:p>
          <w:p w14:paraId="7ECBEDB0" w14:textId="77CB7562" w:rsidR="00E81BDC" w:rsidRDefault="00E81BDC" w:rsidP="00522034"/>
          <w:p w14:paraId="53632530" w14:textId="669163B4" w:rsidR="00624941" w:rsidRDefault="00624941" w:rsidP="00522034">
            <w:r>
              <w:t>Based on the success of this approach in KS3 English and Maths we will be employing an HLTA in Science to support raising the attainment of PP students through the delivery, in class and independently, of programmes to ensure core science skills and concepts are developed and embedded. The HLTA will work under the direction of the pp Lead in Science and the Head of Department to identify PP Students requiring support.</w:t>
            </w:r>
          </w:p>
          <w:p w14:paraId="484E63C8" w14:textId="77777777" w:rsidR="00E81BDC" w:rsidRDefault="00E81BDC" w:rsidP="00522034"/>
          <w:p w14:paraId="6FEBC095" w14:textId="77777777" w:rsidR="00522034" w:rsidRDefault="00522034" w:rsidP="00522034"/>
          <w:p w14:paraId="184293D5" w14:textId="77777777" w:rsidR="00522034" w:rsidRDefault="3641494C" w:rsidP="3641494C">
            <w:pPr>
              <w:rPr>
                <w:b/>
                <w:bCs/>
                <w:color w:val="0070C0"/>
              </w:rPr>
            </w:pPr>
            <w:r w:rsidRPr="3641494C">
              <w:rPr>
                <w:b/>
                <w:bCs/>
                <w:color w:val="0070C0"/>
              </w:rPr>
              <w:t>Impact will be measured by:</w:t>
            </w:r>
          </w:p>
          <w:p w14:paraId="75E576F4" w14:textId="77777777" w:rsidR="00522034" w:rsidRDefault="3641494C" w:rsidP="3641494C">
            <w:pPr>
              <w:rPr>
                <w:color w:val="0070C0"/>
              </w:rPr>
            </w:pPr>
            <w:r w:rsidRPr="3641494C">
              <w:rPr>
                <w:color w:val="0070C0"/>
              </w:rPr>
              <w:t>Improved assessment data in English and Maths</w:t>
            </w:r>
          </w:p>
          <w:p w14:paraId="564098F9" w14:textId="77777777" w:rsidR="00522034" w:rsidRDefault="3641494C" w:rsidP="3641494C">
            <w:pPr>
              <w:rPr>
                <w:color w:val="0070C0"/>
              </w:rPr>
            </w:pPr>
            <w:r w:rsidRPr="3641494C">
              <w:rPr>
                <w:color w:val="0070C0"/>
              </w:rPr>
              <w:t>Quality assurance (QA) of the interventions at Wave 2 and 3</w:t>
            </w:r>
          </w:p>
          <w:p w14:paraId="7B7C3EF8" w14:textId="77777777" w:rsidR="00522034" w:rsidRPr="00522034" w:rsidRDefault="3641494C" w:rsidP="3641494C">
            <w:pPr>
              <w:rPr>
                <w:color w:val="0070C0"/>
              </w:rPr>
            </w:pPr>
            <w:r w:rsidRPr="3641494C">
              <w:rPr>
                <w:color w:val="0070C0"/>
              </w:rPr>
              <w:t>Staff feedback regarding value of KS2 Team in supporting differentiation across the curriculum (associated class/year group data)</w:t>
            </w:r>
          </w:p>
          <w:p w14:paraId="45AA550A" w14:textId="77777777" w:rsidR="00522034" w:rsidRPr="00522034" w:rsidRDefault="00522034" w:rsidP="00522034"/>
        </w:tc>
        <w:tc>
          <w:tcPr>
            <w:tcW w:w="2075" w:type="dxa"/>
          </w:tcPr>
          <w:p w14:paraId="4DBFC568" w14:textId="77777777" w:rsidR="00522034" w:rsidRDefault="00522034" w:rsidP="00522034">
            <w:pPr>
              <w:pStyle w:val="p9"/>
              <w:spacing w:before="210" w:beforeAutospacing="0" w:after="0" w:afterAutospacing="0" w:line="270" w:lineRule="atLeast"/>
              <w:rPr>
                <w:rFonts w:ascii="Calibri" w:hAnsi="Calibri"/>
                <w:color w:val="000000"/>
                <w:sz w:val="23"/>
                <w:szCs w:val="23"/>
              </w:rPr>
            </w:pPr>
          </w:p>
          <w:p w14:paraId="54AC59DF" w14:textId="77777777" w:rsidR="00522034" w:rsidRDefault="00522034" w:rsidP="00522034">
            <w:pPr>
              <w:pStyle w:val="p9"/>
              <w:spacing w:before="210" w:beforeAutospacing="0" w:after="0" w:afterAutospacing="0" w:line="270" w:lineRule="atLeast"/>
              <w:rPr>
                <w:rFonts w:ascii="Calibri" w:hAnsi="Calibri"/>
                <w:color w:val="000000"/>
                <w:sz w:val="23"/>
                <w:szCs w:val="23"/>
              </w:rPr>
            </w:pPr>
          </w:p>
          <w:p w14:paraId="49E2118F" w14:textId="3E734A4D" w:rsidR="00522034" w:rsidRDefault="3641494C" w:rsidP="3641494C">
            <w:pPr>
              <w:pStyle w:val="p9"/>
              <w:spacing w:before="210" w:beforeAutospacing="0" w:after="0" w:afterAutospacing="0" w:line="270" w:lineRule="atLeast"/>
              <w:rPr>
                <w:rFonts w:ascii="Calibri" w:eastAsia="Calibri" w:hAnsi="Calibri" w:cs="Calibri"/>
                <w:color w:val="000000" w:themeColor="text1"/>
                <w:sz w:val="23"/>
                <w:szCs w:val="23"/>
              </w:rPr>
            </w:pPr>
            <w:r w:rsidRPr="3641494C">
              <w:rPr>
                <w:rFonts w:ascii="Calibri" w:eastAsia="Calibri" w:hAnsi="Calibri" w:cs="Calibri"/>
                <w:color w:val="000000" w:themeColor="text1"/>
                <w:sz w:val="23"/>
                <w:szCs w:val="23"/>
              </w:rPr>
              <w:t>Contribution to salary costs:</w:t>
            </w:r>
          </w:p>
          <w:p w14:paraId="67F63241" w14:textId="0E603528" w:rsidR="008419F6" w:rsidRDefault="00345E0D" w:rsidP="3641494C">
            <w:pPr>
              <w:pStyle w:val="p9"/>
              <w:spacing w:before="210" w:beforeAutospacing="0" w:after="0" w:afterAutospacing="0" w:line="270" w:lineRule="atLeast"/>
              <w:rPr>
                <w:rFonts w:ascii="Calibri" w:eastAsia="Calibri" w:hAnsi="Calibri" w:cs="Calibri"/>
                <w:color w:val="000000" w:themeColor="text1"/>
                <w:sz w:val="23"/>
                <w:szCs w:val="23"/>
              </w:rPr>
            </w:pPr>
            <w:r>
              <w:rPr>
                <w:rFonts w:ascii="Calibri" w:eastAsia="Calibri" w:hAnsi="Calibri" w:cs="Calibri"/>
                <w:color w:val="000000" w:themeColor="text1"/>
                <w:sz w:val="23"/>
                <w:szCs w:val="23"/>
              </w:rPr>
              <w:t>£194,475</w:t>
            </w:r>
          </w:p>
          <w:p w14:paraId="02A6564B" w14:textId="78C5C577" w:rsidR="00AD38EA" w:rsidRDefault="3641494C" w:rsidP="3641494C">
            <w:pPr>
              <w:pStyle w:val="p9"/>
              <w:spacing w:before="210" w:beforeAutospacing="0" w:after="0" w:afterAutospacing="0" w:line="270" w:lineRule="atLeast"/>
              <w:rPr>
                <w:rFonts w:ascii="Calibri" w:eastAsia="Calibri" w:hAnsi="Calibri" w:cs="Calibri"/>
                <w:color w:val="000000" w:themeColor="text1"/>
                <w:sz w:val="23"/>
                <w:szCs w:val="23"/>
              </w:rPr>
            </w:pPr>
            <w:r w:rsidRPr="3641494C">
              <w:rPr>
                <w:rFonts w:ascii="Calibri" w:eastAsia="Calibri" w:hAnsi="Calibri" w:cs="Calibri"/>
                <w:color w:val="000000" w:themeColor="text1"/>
                <w:sz w:val="23"/>
                <w:szCs w:val="23"/>
              </w:rPr>
              <w:t xml:space="preserve"> </w:t>
            </w:r>
          </w:p>
          <w:p w14:paraId="316E97DF" w14:textId="5814350C" w:rsidR="00AD38EA" w:rsidRDefault="00AD38EA" w:rsidP="3641494C">
            <w:pPr>
              <w:pStyle w:val="p9"/>
              <w:spacing w:before="210" w:beforeAutospacing="0" w:after="0" w:afterAutospacing="0" w:line="270" w:lineRule="atLeast"/>
              <w:rPr>
                <w:rFonts w:ascii="Calibri" w:eastAsia="Calibri" w:hAnsi="Calibri" w:cs="Calibri"/>
                <w:color w:val="000000" w:themeColor="text1"/>
                <w:sz w:val="23"/>
                <w:szCs w:val="23"/>
              </w:rPr>
            </w:pPr>
          </w:p>
          <w:p w14:paraId="4842BA3E" w14:textId="77777777" w:rsidR="00AD38EA" w:rsidRDefault="00AD38EA" w:rsidP="00522034">
            <w:pPr>
              <w:pStyle w:val="p9"/>
              <w:spacing w:before="210" w:beforeAutospacing="0" w:after="0" w:afterAutospacing="0" w:line="270" w:lineRule="atLeast"/>
              <w:rPr>
                <w:rFonts w:ascii="Calibri" w:hAnsi="Calibri"/>
                <w:color w:val="000000"/>
                <w:sz w:val="23"/>
                <w:szCs w:val="23"/>
              </w:rPr>
            </w:pPr>
          </w:p>
          <w:p w14:paraId="23577144" w14:textId="77777777" w:rsidR="00AD38EA" w:rsidRDefault="00AD38EA" w:rsidP="00522034">
            <w:pPr>
              <w:pStyle w:val="p9"/>
              <w:spacing w:before="210" w:beforeAutospacing="0" w:after="0" w:afterAutospacing="0" w:line="270" w:lineRule="atLeast"/>
              <w:rPr>
                <w:rFonts w:ascii="Calibri" w:hAnsi="Calibri"/>
                <w:color w:val="000000"/>
                <w:sz w:val="23"/>
                <w:szCs w:val="23"/>
              </w:rPr>
            </w:pPr>
          </w:p>
          <w:p w14:paraId="58F64BE6" w14:textId="77777777" w:rsidR="00AD38EA" w:rsidRDefault="00AD38EA" w:rsidP="00522034">
            <w:pPr>
              <w:pStyle w:val="p9"/>
              <w:spacing w:before="210" w:beforeAutospacing="0" w:after="0" w:afterAutospacing="0" w:line="270" w:lineRule="atLeast"/>
              <w:rPr>
                <w:rFonts w:ascii="Calibri" w:hAnsi="Calibri"/>
                <w:color w:val="000000"/>
                <w:sz w:val="23"/>
                <w:szCs w:val="23"/>
              </w:rPr>
            </w:pPr>
          </w:p>
          <w:p w14:paraId="3853A37A" w14:textId="77777777" w:rsidR="00AD38EA" w:rsidRDefault="00AD38EA" w:rsidP="00522034">
            <w:pPr>
              <w:pStyle w:val="p9"/>
              <w:spacing w:before="210" w:beforeAutospacing="0" w:after="0" w:afterAutospacing="0" w:line="270" w:lineRule="atLeast"/>
              <w:rPr>
                <w:rFonts w:ascii="Calibri" w:hAnsi="Calibri"/>
                <w:color w:val="000000"/>
                <w:sz w:val="23"/>
                <w:szCs w:val="23"/>
              </w:rPr>
            </w:pPr>
          </w:p>
          <w:p w14:paraId="0D036155" w14:textId="77777777" w:rsidR="00121AE3" w:rsidRDefault="00121AE3" w:rsidP="3641494C">
            <w:pPr>
              <w:pStyle w:val="p9"/>
              <w:spacing w:before="210" w:beforeAutospacing="0" w:after="0" w:afterAutospacing="0" w:line="270" w:lineRule="atLeast"/>
              <w:rPr>
                <w:rFonts w:ascii="Calibri" w:hAnsi="Calibri"/>
                <w:color w:val="000000"/>
                <w:sz w:val="23"/>
                <w:szCs w:val="23"/>
              </w:rPr>
            </w:pPr>
          </w:p>
          <w:p w14:paraId="32E37C37" w14:textId="7B30B8FB" w:rsidR="00EB2165" w:rsidRDefault="00EB2165" w:rsidP="3641494C">
            <w:pPr>
              <w:pStyle w:val="p9"/>
              <w:spacing w:before="210" w:beforeAutospacing="0" w:after="0" w:afterAutospacing="0" w:line="270" w:lineRule="atLeast"/>
              <w:rPr>
                <w:rFonts w:ascii="Calibri" w:eastAsia="Calibri" w:hAnsi="Calibri" w:cs="Calibri"/>
                <w:color w:val="000000" w:themeColor="text1"/>
                <w:sz w:val="23"/>
                <w:szCs w:val="23"/>
              </w:rPr>
            </w:pPr>
          </w:p>
          <w:p w14:paraId="3CFB046D" w14:textId="20279AB4" w:rsidR="00AD38EA" w:rsidRDefault="00AD38EA" w:rsidP="3641494C">
            <w:pPr>
              <w:pStyle w:val="p9"/>
              <w:spacing w:before="210" w:beforeAutospacing="0" w:after="0" w:afterAutospacing="0" w:line="270" w:lineRule="atLeast"/>
              <w:rPr>
                <w:rFonts w:ascii="Calibri" w:eastAsia="Calibri" w:hAnsi="Calibri" w:cs="Calibri"/>
                <w:color w:val="000000" w:themeColor="text1"/>
                <w:sz w:val="23"/>
                <w:szCs w:val="23"/>
              </w:rPr>
            </w:pPr>
          </w:p>
          <w:p w14:paraId="5AEEB229" w14:textId="68E2C336" w:rsidR="00AD38EA" w:rsidRDefault="00AD38EA" w:rsidP="00522034">
            <w:pPr>
              <w:pStyle w:val="p9"/>
              <w:spacing w:before="210" w:beforeAutospacing="0" w:after="0" w:afterAutospacing="0" w:line="270" w:lineRule="atLeast"/>
              <w:rPr>
                <w:rFonts w:ascii="Calibri" w:hAnsi="Calibri"/>
                <w:color w:val="000000"/>
                <w:sz w:val="23"/>
                <w:szCs w:val="23"/>
              </w:rPr>
            </w:pPr>
          </w:p>
        </w:tc>
      </w:tr>
      <w:tr w:rsidR="009A0E85" w14:paraId="7E82A2F5" w14:textId="77777777" w:rsidTr="00121AE3">
        <w:tc>
          <w:tcPr>
            <w:tcW w:w="6941" w:type="dxa"/>
          </w:tcPr>
          <w:p w14:paraId="5AECC75C" w14:textId="77777777" w:rsidR="009A0E85" w:rsidRDefault="009A0E85" w:rsidP="00522034">
            <w:pPr>
              <w:pStyle w:val="p9"/>
              <w:spacing w:before="210" w:beforeAutospacing="0" w:after="0" w:afterAutospacing="0" w:line="270" w:lineRule="atLeast"/>
              <w:rPr>
                <w:rFonts w:ascii="Calibri" w:hAnsi="Calibri"/>
                <w:b/>
                <w:bCs/>
                <w:color w:val="000000"/>
                <w:sz w:val="22"/>
                <w:szCs w:val="23"/>
              </w:rPr>
            </w:pPr>
            <w:r>
              <w:rPr>
                <w:rFonts w:ascii="Calibri" w:hAnsi="Calibri"/>
                <w:b/>
                <w:bCs/>
                <w:color w:val="000000"/>
                <w:sz w:val="22"/>
                <w:szCs w:val="23"/>
              </w:rPr>
              <w:lastRenderedPageBreak/>
              <w:t xml:space="preserve">Barrier 2a – Social and emotional barriers to learning for PP students </w:t>
            </w:r>
          </w:p>
          <w:p w14:paraId="1927520E" w14:textId="7A10A159" w:rsidR="009A0E85" w:rsidRPr="00624941" w:rsidRDefault="009A0E85" w:rsidP="009A0E85">
            <w:pPr>
              <w:pStyle w:val="p9"/>
              <w:numPr>
                <w:ilvl w:val="0"/>
                <w:numId w:val="8"/>
              </w:numPr>
              <w:spacing w:before="210" w:beforeAutospacing="0" w:after="0" w:afterAutospacing="0" w:line="270" w:lineRule="atLeast"/>
              <w:rPr>
                <w:rFonts w:asciiTheme="minorHAnsi" w:hAnsiTheme="minorHAnsi"/>
                <w:bCs/>
                <w:color w:val="000000"/>
                <w:sz w:val="22"/>
                <w:szCs w:val="23"/>
              </w:rPr>
            </w:pPr>
            <w:r w:rsidRPr="009A0E85">
              <w:rPr>
                <w:rFonts w:asciiTheme="minorHAnsi" w:hAnsiTheme="minorHAnsi"/>
                <w:sz w:val="22"/>
              </w:rPr>
              <w:t xml:space="preserve">Further development of </w:t>
            </w:r>
            <w:r w:rsidR="00624941">
              <w:rPr>
                <w:rFonts w:asciiTheme="minorHAnsi" w:hAnsiTheme="minorHAnsi"/>
                <w:sz w:val="22"/>
              </w:rPr>
              <w:t>the Lytham Inclusion (LINC) Centre</w:t>
            </w:r>
            <w:r w:rsidRPr="009A0E85">
              <w:rPr>
                <w:rFonts w:asciiTheme="minorHAnsi" w:hAnsiTheme="minorHAnsi"/>
                <w:sz w:val="22"/>
              </w:rPr>
              <w:t xml:space="preserve"> with a focus on PP students and a coordinated academic/pastoral approach to tackling barriers to learning and developing positive “Behaviour for Learning”. LINC to be manned full time to meet the level of need within the school. LINC is a centre for a range of provision including: social/emotional support for students; special projects (including outdoor bounds); access to external mental health and well-being providers.</w:t>
            </w:r>
          </w:p>
          <w:p w14:paraId="6B0ADBD9" w14:textId="2C33AD00" w:rsidR="00624941" w:rsidRPr="009A0E85" w:rsidRDefault="00624941" w:rsidP="009A0E85">
            <w:pPr>
              <w:pStyle w:val="p9"/>
              <w:numPr>
                <w:ilvl w:val="0"/>
                <w:numId w:val="8"/>
              </w:numPr>
              <w:spacing w:before="210" w:beforeAutospacing="0" w:after="0" w:afterAutospacing="0" w:line="270" w:lineRule="atLeast"/>
              <w:rPr>
                <w:rFonts w:asciiTheme="minorHAnsi" w:hAnsiTheme="minorHAnsi"/>
                <w:bCs/>
                <w:color w:val="000000"/>
                <w:sz w:val="22"/>
                <w:szCs w:val="23"/>
              </w:rPr>
            </w:pPr>
            <w:r>
              <w:rPr>
                <w:rFonts w:asciiTheme="minorHAnsi" w:hAnsiTheme="minorHAnsi"/>
                <w:sz w:val="22"/>
              </w:rPr>
              <w:t>In 2017/18 a new provision BASE</w:t>
            </w:r>
            <w:r w:rsidR="00EC7B97">
              <w:rPr>
                <w:rFonts w:asciiTheme="minorHAnsi" w:hAnsiTheme="minorHAnsi"/>
                <w:sz w:val="22"/>
              </w:rPr>
              <w:t xml:space="preserve"> – Behaviour, Attendance support engagement will offer proactive support to PP Students with issues around behaviour, attendance, organisation and routines.</w:t>
            </w:r>
          </w:p>
          <w:p w14:paraId="4F14131E" w14:textId="77777777" w:rsidR="009A0E85" w:rsidRDefault="009A0E85" w:rsidP="009A0E85">
            <w:pPr>
              <w:ind w:left="360"/>
            </w:pPr>
          </w:p>
          <w:p w14:paraId="4B9F6AF0" w14:textId="77777777" w:rsidR="009A0E85" w:rsidRPr="009A0E85" w:rsidRDefault="3641494C" w:rsidP="3641494C">
            <w:pPr>
              <w:rPr>
                <w:b/>
                <w:bCs/>
                <w:color w:val="0070C0"/>
              </w:rPr>
            </w:pPr>
            <w:r w:rsidRPr="3641494C">
              <w:rPr>
                <w:b/>
                <w:bCs/>
                <w:color w:val="0070C0"/>
              </w:rPr>
              <w:t>Impact will be measured by:</w:t>
            </w:r>
          </w:p>
          <w:p w14:paraId="03139ED2" w14:textId="77777777" w:rsidR="009A0E85" w:rsidRDefault="3641494C" w:rsidP="3641494C">
            <w:pPr>
              <w:rPr>
                <w:color w:val="0070C0"/>
              </w:rPr>
            </w:pPr>
            <w:r w:rsidRPr="3641494C">
              <w:rPr>
                <w:color w:val="0070C0"/>
              </w:rPr>
              <w:t xml:space="preserve">Pupil entry and exit data for Linc interventions </w:t>
            </w:r>
          </w:p>
          <w:p w14:paraId="182ED22B" w14:textId="77777777" w:rsidR="009A0E85" w:rsidRDefault="3641494C" w:rsidP="3641494C">
            <w:pPr>
              <w:rPr>
                <w:color w:val="0070C0"/>
              </w:rPr>
            </w:pPr>
            <w:r w:rsidRPr="3641494C">
              <w:rPr>
                <w:color w:val="0070C0"/>
              </w:rPr>
              <w:t xml:space="preserve">QA of Behaviour Points, Homework completion </w:t>
            </w:r>
          </w:p>
          <w:p w14:paraId="102D572A" w14:textId="77777777" w:rsidR="009A0E85" w:rsidRDefault="3641494C" w:rsidP="3641494C">
            <w:pPr>
              <w:rPr>
                <w:color w:val="0070C0"/>
              </w:rPr>
            </w:pPr>
            <w:r w:rsidRPr="3641494C">
              <w:rPr>
                <w:color w:val="0070C0"/>
              </w:rPr>
              <w:t xml:space="preserve">Pupil Voice </w:t>
            </w:r>
          </w:p>
          <w:p w14:paraId="1B8B4668" w14:textId="77777777" w:rsidR="009A0E85" w:rsidRPr="009A0E85" w:rsidRDefault="3641494C" w:rsidP="3641494C">
            <w:pPr>
              <w:rPr>
                <w:color w:val="0070C0"/>
                <w:sz w:val="20"/>
                <w:szCs w:val="20"/>
              </w:rPr>
            </w:pPr>
            <w:r w:rsidRPr="3641494C">
              <w:rPr>
                <w:color w:val="0070C0"/>
              </w:rPr>
              <w:t>Attainment and attendance data pre &amp; post Linc intervention/ work with outside agencies</w:t>
            </w:r>
          </w:p>
          <w:p w14:paraId="46E3A11A" w14:textId="77777777" w:rsidR="009A0E85" w:rsidRPr="009A0E85" w:rsidRDefault="009A0E85" w:rsidP="009A0E85">
            <w:pPr>
              <w:pStyle w:val="p9"/>
              <w:spacing w:before="210" w:beforeAutospacing="0" w:after="0" w:afterAutospacing="0" w:line="270" w:lineRule="atLeast"/>
              <w:rPr>
                <w:rFonts w:asciiTheme="minorHAnsi" w:hAnsiTheme="minorHAnsi"/>
                <w:bCs/>
                <w:color w:val="000000"/>
                <w:sz w:val="22"/>
                <w:szCs w:val="23"/>
              </w:rPr>
            </w:pPr>
            <w:r>
              <w:rPr>
                <w:rFonts w:asciiTheme="minorHAnsi" w:hAnsiTheme="minorHAnsi"/>
                <w:sz w:val="22"/>
              </w:rPr>
              <w:t xml:space="preserve"> </w:t>
            </w:r>
          </w:p>
        </w:tc>
        <w:tc>
          <w:tcPr>
            <w:tcW w:w="2075" w:type="dxa"/>
          </w:tcPr>
          <w:p w14:paraId="3CD4A1AD" w14:textId="1E54F1A4" w:rsidR="009A0E85" w:rsidRDefault="009A0E85" w:rsidP="00522034">
            <w:pPr>
              <w:pStyle w:val="p9"/>
              <w:spacing w:before="210" w:beforeAutospacing="0" w:after="0" w:afterAutospacing="0" w:line="270" w:lineRule="atLeast"/>
              <w:rPr>
                <w:rFonts w:ascii="Calibri" w:hAnsi="Calibri"/>
                <w:color w:val="000000"/>
                <w:sz w:val="23"/>
                <w:szCs w:val="23"/>
              </w:rPr>
            </w:pPr>
            <w:r>
              <w:rPr>
                <w:rFonts w:ascii="Calibri" w:hAnsi="Calibri"/>
                <w:color w:val="000000"/>
                <w:sz w:val="23"/>
                <w:szCs w:val="23"/>
              </w:rPr>
              <w:t>Salary costs:</w:t>
            </w:r>
          </w:p>
          <w:p w14:paraId="3BC6DCBF" w14:textId="570F5FC1" w:rsidR="008419F6" w:rsidRDefault="008419F6" w:rsidP="00522034">
            <w:pPr>
              <w:pStyle w:val="p9"/>
              <w:spacing w:before="210" w:beforeAutospacing="0" w:after="0" w:afterAutospacing="0" w:line="270" w:lineRule="atLeast"/>
              <w:rPr>
                <w:rFonts w:ascii="Calibri" w:hAnsi="Calibri"/>
                <w:color w:val="000000"/>
                <w:sz w:val="23"/>
                <w:szCs w:val="23"/>
              </w:rPr>
            </w:pPr>
          </w:p>
          <w:p w14:paraId="03D95D30" w14:textId="723CD4A2" w:rsidR="008419F6" w:rsidRDefault="00022735" w:rsidP="00522034">
            <w:pPr>
              <w:pStyle w:val="p9"/>
              <w:spacing w:before="210" w:beforeAutospacing="0" w:after="0" w:afterAutospacing="0" w:line="270" w:lineRule="atLeast"/>
              <w:rPr>
                <w:rFonts w:ascii="Calibri" w:hAnsi="Calibri"/>
                <w:color w:val="000000"/>
                <w:sz w:val="23"/>
                <w:szCs w:val="23"/>
              </w:rPr>
            </w:pPr>
            <w:r>
              <w:rPr>
                <w:rFonts w:ascii="Calibri" w:hAnsi="Calibri"/>
                <w:color w:val="000000"/>
                <w:sz w:val="23"/>
                <w:szCs w:val="23"/>
              </w:rPr>
              <w:t>£11,740</w:t>
            </w:r>
          </w:p>
          <w:p w14:paraId="5F84FBF8" w14:textId="38AF4C11" w:rsidR="009A0E85" w:rsidRDefault="009A0E85" w:rsidP="00522034">
            <w:pPr>
              <w:pStyle w:val="p9"/>
              <w:spacing w:before="210" w:beforeAutospacing="0" w:after="0" w:afterAutospacing="0" w:line="270" w:lineRule="atLeast"/>
              <w:rPr>
                <w:rFonts w:ascii="Calibri" w:hAnsi="Calibri"/>
                <w:color w:val="000000"/>
                <w:sz w:val="23"/>
                <w:szCs w:val="23"/>
              </w:rPr>
            </w:pPr>
            <w:r>
              <w:rPr>
                <w:rFonts w:ascii="Calibri" w:hAnsi="Calibri"/>
                <w:color w:val="000000"/>
                <w:sz w:val="23"/>
                <w:szCs w:val="23"/>
              </w:rPr>
              <w:t xml:space="preserve"> </w:t>
            </w:r>
          </w:p>
        </w:tc>
      </w:tr>
      <w:tr w:rsidR="00522034" w14:paraId="262F0AE4" w14:textId="77777777" w:rsidTr="00121AE3">
        <w:tc>
          <w:tcPr>
            <w:tcW w:w="6941" w:type="dxa"/>
          </w:tcPr>
          <w:p w14:paraId="43C52C14" w14:textId="77777777" w:rsidR="00AD38EA" w:rsidRDefault="00AD38EA" w:rsidP="00AD38EA">
            <w:r w:rsidRPr="00AD38EA">
              <w:rPr>
                <w:b/>
              </w:rPr>
              <w:t>Barrier 2b - Practical barriers to learning for PP Students:</w:t>
            </w:r>
            <w:r w:rsidRPr="00AD38EA">
              <w:t xml:space="preserve"> </w:t>
            </w:r>
          </w:p>
          <w:p w14:paraId="05E04624" w14:textId="26C776CC" w:rsidR="00AD38EA" w:rsidRDefault="00DF55D4" w:rsidP="00AD38EA">
            <w:r>
              <w:rPr>
                <w:b/>
              </w:rPr>
              <w:t>To supplement the FSM rate to ensure pupils have a nourishing lunch and</w:t>
            </w:r>
          </w:p>
          <w:p w14:paraId="70006E5B" w14:textId="77777777" w:rsidR="00AD38EA" w:rsidRDefault="00AD38EA" w:rsidP="00AD38EA">
            <w:r w:rsidRPr="00AD38EA">
              <w:rPr>
                <w:b/>
              </w:rPr>
              <w:t>Hardship Fund</w:t>
            </w:r>
            <w:r w:rsidRPr="00AD38EA">
              <w:t xml:space="preserve"> to support our PP with uniform, transport, meals etc </w:t>
            </w:r>
          </w:p>
          <w:p w14:paraId="1699621D" w14:textId="5B304C06" w:rsidR="00522034" w:rsidRPr="00AD38EA" w:rsidRDefault="3641494C" w:rsidP="00DF55D4">
            <w:pPr>
              <w:rPr>
                <w:b/>
                <w:bCs/>
                <w:color w:val="000000" w:themeColor="text1"/>
              </w:rPr>
            </w:pPr>
            <w:r w:rsidRPr="3641494C">
              <w:rPr>
                <w:b/>
                <w:bCs/>
                <w:color w:val="0070C0"/>
              </w:rPr>
              <w:lastRenderedPageBreak/>
              <w:t>Impact measured by</w:t>
            </w:r>
            <w:r w:rsidRPr="3641494C">
              <w:rPr>
                <w:color w:val="0070C0"/>
              </w:rPr>
              <w:t xml:space="preserve">: </w:t>
            </w:r>
            <w:r w:rsidR="00EC7B97">
              <w:rPr>
                <w:color w:val="0070C0"/>
              </w:rPr>
              <w:t>Attendance rates, pupil and parent voice activities.</w:t>
            </w:r>
          </w:p>
        </w:tc>
        <w:tc>
          <w:tcPr>
            <w:tcW w:w="2075" w:type="dxa"/>
          </w:tcPr>
          <w:p w14:paraId="485BD618" w14:textId="4535D06B" w:rsidR="00522034" w:rsidRDefault="00AD38EA" w:rsidP="00522034">
            <w:pPr>
              <w:pStyle w:val="p9"/>
              <w:spacing w:before="210" w:beforeAutospacing="0" w:after="0" w:afterAutospacing="0" w:line="270" w:lineRule="atLeast"/>
              <w:rPr>
                <w:rFonts w:ascii="Calibri" w:hAnsi="Calibri"/>
                <w:color w:val="000000"/>
                <w:sz w:val="23"/>
                <w:szCs w:val="23"/>
              </w:rPr>
            </w:pPr>
            <w:r>
              <w:rPr>
                <w:rFonts w:ascii="Calibri" w:hAnsi="Calibri"/>
                <w:color w:val="000000"/>
                <w:sz w:val="23"/>
                <w:szCs w:val="23"/>
              </w:rPr>
              <w:lastRenderedPageBreak/>
              <w:t xml:space="preserve"> </w:t>
            </w:r>
            <w:r w:rsidR="00022735">
              <w:rPr>
                <w:rFonts w:ascii="Calibri" w:hAnsi="Calibri"/>
                <w:color w:val="000000"/>
                <w:sz w:val="23"/>
                <w:szCs w:val="23"/>
              </w:rPr>
              <w:t>£12,700</w:t>
            </w:r>
          </w:p>
          <w:p w14:paraId="3C00C90C" w14:textId="7A0AA65E" w:rsidR="00AD38EA" w:rsidRDefault="00AD38EA" w:rsidP="00522034">
            <w:pPr>
              <w:pStyle w:val="p9"/>
              <w:spacing w:before="210" w:beforeAutospacing="0" w:after="0" w:afterAutospacing="0" w:line="270" w:lineRule="atLeast"/>
              <w:rPr>
                <w:rFonts w:ascii="Calibri" w:hAnsi="Calibri"/>
                <w:color w:val="000000"/>
                <w:sz w:val="23"/>
                <w:szCs w:val="23"/>
              </w:rPr>
            </w:pPr>
          </w:p>
        </w:tc>
      </w:tr>
      <w:tr w:rsidR="00522034" w14:paraId="7A7B375C" w14:textId="77777777" w:rsidTr="00121AE3">
        <w:tc>
          <w:tcPr>
            <w:tcW w:w="6941" w:type="dxa"/>
          </w:tcPr>
          <w:p w14:paraId="5815C9BC" w14:textId="7073C335" w:rsidR="00DF55D4" w:rsidRDefault="00AD38EA" w:rsidP="00AD38EA">
            <w:pPr>
              <w:rPr>
                <w:b/>
              </w:rPr>
            </w:pPr>
            <w:r>
              <w:rPr>
                <w:b/>
              </w:rPr>
              <w:t xml:space="preserve">Barrier 3 – </w:t>
            </w:r>
            <w:r w:rsidR="00DF55D4">
              <w:rPr>
                <w:b/>
              </w:rPr>
              <w:t>Lower parental engagement &amp; lack of opportunities</w:t>
            </w:r>
            <w:r>
              <w:rPr>
                <w:b/>
              </w:rPr>
              <w:t xml:space="preserve"> to engage in learning outside school/ in the home environment</w:t>
            </w:r>
          </w:p>
          <w:p w14:paraId="08585035" w14:textId="77777777" w:rsidR="00DF55D4" w:rsidRDefault="00DF55D4" w:rsidP="00AD38EA">
            <w:pPr>
              <w:rPr>
                <w:b/>
              </w:rPr>
            </w:pPr>
          </w:p>
          <w:p w14:paraId="46B04020" w14:textId="267E6CCA" w:rsidR="00DF55D4" w:rsidRDefault="00DF55D4" w:rsidP="00C058B9">
            <w:pPr>
              <w:pStyle w:val="ListParagraph"/>
              <w:numPr>
                <w:ilvl w:val="0"/>
                <w:numId w:val="2"/>
              </w:numPr>
            </w:pPr>
            <w:r>
              <w:t>To extend the pilot parental engagement programme into Yr 7 and new Y11. This to include a series of off site events and wider parental opportunities in school to build positive relationships and model parental support early in Y7. To provide academic revision support for parents in Y11 following the summer 2017 model in partnership with the YMCA</w:t>
            </w:r>
          </w:p>
          <w:p w14:paraId="67D0C21B" w14:textId="0B6A51C8" w:rsidR="00C058B9" w:rsidRDefault="00C058B9" w:rsidP="00C058B9">
            <w:pPr>
              <w:pStyle w:val="ListParagraph"/>
              <w:numPr>
                <w:ilvl w:val="0"/>
                <w:numId w:val="2"/>
              </w:numPr>
            </w:pPr>
            <w:r>
              <w:t>Staff across the curriculum may bid for learning materials, revision resources, funding for events</w:t>
            </w:r>
            <w:r w:rsidR="00DF55D4">
              <w:t xml:space="preserve"> and</w:t>
            </w:r>
            <w:r>
              <w:t xml:space="preserve"> other opportunities specifically for named PP students. Staff must indicate</w:t>
            </w:r>
            <w:r w:rsidR="00DF55D4">
              <w:t xml:space="preserve"> and measure</w:t>
            </w:r>
            <w:r>
              <w:t xml:space="preserve"> the expected impact.</w:t>
            </w:r>
            <w:r w:rsidR="00EC7B97">
              <w:t xml:space="preserve"> Priority is given to Core subjects of English, maths and Science in the short term.</w:t>
            </w:r>
          </w:p>
          <w:p w14:paraId="782CF406" w14:textId="380F43B2" w:rsidR="00C058B9" w:rsidRDefault="00C058B9" w:rsidP="00C058B9">
            <w:pPr>
              <w:pStyle w:val="ListParagraph"/>
              <w:numPr>
                <w:ilvl w:val="0"/>
                <w:numId w:val="2"/>
              </w:numPr>
            </w:pPr>
            <w:r>
              <w:t xml:space="preserve">Easter School will be funded with </w:t>
            </w:r>
            <w:r w:rsidR="00DF55D4">
              <w:t>specific focus on Pupil Premium attendance at sessions</w:t>
            </w:r>
          </w:p>
          <w:p w14:paraId="76F44158" w14:textId="69726F12" w:rsidR="00C058B9" w:rsidRDefault="00C058B9" w:rsidP="00C058B9">
            <w:pPr>
              <w:pStyle w:val="ListParagraph"/>
              <w:numPr>
                <w:ilvl w:val="0"/>
                <w:numId w:val="2"/>
              </w:numPr>
            </w:pPr>
            <w:r>
              <w:t xml:space="preserve">Access to Beyond </w:t>
            </w:r>
            <w:r w:rsidR="00DF55D4">
              <w:t>the Bell Homework Club,</w:t>
            </w:r>
            <w:r>
              <w:t xml:space="preserve"> staffing and resources</w:t>
            </w:r>
          </w:p>
          <w:p w14:paraId="10A24487" w14:textId="77777777" w:rsidR="00C058B9" w:rsidRDefault="00C058B9" w:rsidP="00C058B9">
            <w:pPr>
              <w:pStyle w:val="ListParagraph"/>
              <w:numPr>
                <w:ilvl w:val="0"/>
                <w:numId w:val="2"/>
              </w:numPr>
            </w:pPr>
            <w:r>
              <w:t>Pupil Premium specific CEAIG and aspirational events including The Dreadlock Alien, poetry, Art Therapy etc</w:t>
            </w:r>
          </w:p>
          <w:p w14:paraId="3EB5A695" w14:textId="77777777" w:rsidR="00C058B9" w:rsidRDefault="00C058B9" w:rsidP="00C058B9"/>
          <w:p w14:paraId="04C13EB7" w14:textId="77777777" w:rsidR="00C058B9" w:rsidRDefault="3641494C" w:rsidP="3641494C">
            <w:pPr>
              <w:rPr>
                <w:color w:val="0070C0"/>
              </w:rPr>
            </w:pPr>
            <w:r w:rsidRPr="3641494C">
              <w:rPr>
                <w:b/>
                <w:bCs/>
                <w:color w:val="0070C0"/>
              </w:rPr>
              <w:t>Impact will be measured by</w:t>
            </w:r>
            <w:r w:rsidRPr="3641494C">
              <w:rPr>
                <w:color w:val="0070C0"/>
              </w:rPr>
              <w:t xml:space="preserve"> </w:t>
            </w:r>
          </w:p>
          <w:p w14:paraId="4295C425" w14:textId="77777777" w:rsidR="00C058B9" w:rsidRDefault="3641494C" w:rsidP="3641494C">
            <w:pPr>
              <w:rPr>
                <w:color w:val="0070C0"/>
              </w:rPr>
            </w:pPr>
            <w:r w:rsidRPr="3641494C">
              <w:rPr>
                <w:color w:val="0070C0"/>
              </w:rPr>
              <w:t xml:space="preserve">Heads of Department in each data assessment point report (once a term analysis of PP performance reported and analysed during SLT QA) </w:t>
            </w:r>
          </w:p>
          <w:p w14:paraId="33FC0C88" w14:textId="77777777" w:rsidR="00C058B9" w:rsidRDefault="3641494C" w:rsidP="00C058B9">
            <w:pPr>
              <w:rPr>
                <w:color w:val="0070C0"/>
              </w:rPr>
            </w:pPr>
            <w:r w:rsidRPr="3641494C">
              <w:rPr>
                <w:color w:val="0070C0"/>
              </w:rPr>
              <w:t>Attendance figures at other provisions and resulting exam/assessment data</w:t>
            </w:r>
          </w:p>
          <w:p w14:paraId="4F9900EE" w14:textId="4B5D7D3B" w:rsidR="00EC7B97" w:rsidRPr="00C058B9" w:rsidRDefault="00EC7B97" w:rsidP="00C058B9">
            <w:r>
              <w:rPr>
                <w:color w:val="0070C0"/>
              </w:rPr>
              <w:t>BTB Coordinator termly analysis and yearly report</w:t>
            </w:r>
          </w:p>
        </w:tc>
        <w:tc>
          <w:tcPr>
            <w:tcW w:w="2075" w:type="dxa"/>
          </w:tcPr>
          <w:p w14:paraId="31E93FF2" w14:textId="77777777" w:rsidR="00522034" w:rsidRDefault="00522034" w:rsidP="3641494C">
            <w:pPr>
              <w:pStyle w:val="p9"/>
              <w:spacing w:before="210" w:beforeAutospacing="0" w:after="0" w:afterAutospacing="0" w:line="270" w:lineRule="atLeast"/>
              <w:rPr>
                <w:rFonts w:ascii="Calibri" w:eastAsia="Calibri" w:hAnsi="Calibri" w:cs="Calibri"/>
                <w:color w:val="000000" w:themeColor="text1"/>
                <w:sz w:val="23"/>
                <w:szCs w:val="23"/>
              </w:rPr>
            </w:pPr>
          </w:p>
          <w:p w14:paraId="2B819773" w14:textId="77777777" w:rsidR="00EB2165" w:rsidRDefault="00EB2165" w:rsidP="3641494C">
            <w:pPr>
              <w:pStyle w:val="p9"/>
              <w:spacing w:before="210" w:beforeAutospacing="0" w:after="0" w:afterAutospacing="0" w:line="270" w:lineRule="atLeast"/>
              <w:rPr>
                <w:rFonts w:ascii="Calibri" w:eastAsia="Calibri" w:hAnsi="Calibri" w:cs="Calibri"/>
                <w:color w:val="000000" w:themeColor="text1"/>
                <w:sz w:val="23"/>
                <w:szCs w:val="23"/>
              </w:rPr>
            </w:pPr>
          </w:p>
          <w:p w14:paraId="0786EFC7" w14:textId="06E05539" w:rsidR="00EB2165" w:rsidRDefault="00EB2165" w:rsidP="3641494C">
            <w:pPr>
              <w:pStyle w:val="p9"/>
              <w:spacing w:before="210" w:beforeAutospacing="0" w:after="0" w:afterAutospacing="0" w:line="270" w:lineRule="atLeast"/>
              <w:rPr>
                <w:rFonts w:ascii="Calibri" w:eastAsia="Calibri" w:hAnsi="Calibri" w:cs="Calibri"/>
                <w:color w:val="000000" w:themeColor="text1"/>
                <w:sz w:val="23"/>
                <w:szCs w:val="23"/>
              </w:rPr>
            </w:pPr>
            <w:r>
              <w:rPr>
                <w:rFonts w:ascii="Calibri" w:eastAsia="Calibri" w:hAnsi="Calibri" w:cs="Calibri"/>
                <w:color w:val="000000" w:themeColor="text1"/>
                <w:sz w:val="23"/>
                <w:szCs w:val="23"/>
              </w:rPr>
              <w:t>£5000</w:t>
            </w:r>
          </w:p>
          <w:p w14:paraId="67321E6E" w14:textId="08C6610B" w:rsidR="00022735" w:rsidRDefault="00022735" w:rsidP="3641494C">
            <w:pPr>
              <w:pStyle w:val="p9"/>
              <w:spacing w:before="210" w:beforeAutospacing="0" w:after="0" w:afterAutospacing="0" w:line="270" w:lineRule="atLeast"/>
              <w:rPr>
                <w:rFonts w:ascii="Calibri" w:eastAsia="Calibri" w:hAnsi="Calibri" w:cs="Calibri"/>
                <w:color w:val="000000" w:themeColor="text1"/>
                <w:sz w:val="23"/>
                <w:szCs w:val="23"/>
              </w:rPr>
            </w:pPr>
          </w:p>
          <w:p w14:paraId="3D8598DF" w14:textId="49466D7D" w:rsidR="00022735" w:rsidRDefault="00022735" w:rsidP="3641494C">
            <w:pPr>
              <w:pStyle w:val="p9"/>
              <w:spacing w:before="210" w:beforeAutospacing="0" w:after="0" w:afterAutospacing="0" w:line="270" w:lineRule="atLeast"/>
              <w:rPr>
                <w:rFonts w:ascii="Calibri" w:eastAsia="Calibri" w:hAnsi="Calibri" w:cs="Calibri"/>
                <w:color w:val="000000" w:themeColor="text1"/>
                <w:sz w:val="23"/>
                <w:szCs w:val="23"/>
              </w:rPr>
            </w:pPr>
          </w:p>
          <w:p w14:paraId="2DE34361" w14:textId="1723347D" w:rsidR="00022735" w:rsidRDefault="00022735" w:rsidP="3641494C">
            <w:pPr>
              <w:pStyle w:val="p9"/>
              <w:spacing w:before="210" w:beforeAutospacing="0" w:after="0" w:afterAutospacing="0" w:line="270" w:lineRule="atLeast"/>
              <w:rPr>
                <w:rFonts w:ascii="Calibri" w:eastAsia="Calibri" w:hAnsi="Calibri" w:cs="Calibri"/>
                <w:color w:val="000000" w:themeColor="text1"/>
                <w:sz w:val="23"/>
                <w:szCs w:val="23"/>
              </w:rPr>
            </w:pPr>
            <w:r>
              <w:rPr>
                <w:rFonts w:ascii="Calibri" w:eastAsia="Calibri" w:hAnsi="Calibri" w:cs="Calibri"/>
                <w:color w:val="000000" w:themeColor="text1"/>
                <w:sz w:val="23"/>
                <w:szCs w:val="23"/>
              </w:rPr>
              <w:t>£5000</w:t>
            </w:r>
          </w:p>
          <w:p w14:paraId="3CA16339" w14:textId="166843F2" w:rsidR="00022735" w:rsidRDefault="00022735" w:rsidP="3641494C">
            <w:pPr>
              <w:pStyle w:val="p9"/>
              <w:spacing w:before="210" w:beforeAutospacing="0" w:after="0" w:afterAutospacing="0" w:line="270" w:lineRule="atLeast"/>
              <w:rPr>
                <w:rFonts w:ascii="Calibri" w:eastAsia="Calibri" w:hAnsi="Calibri" w:cs="Calibri"/>
                <w:color w:val="000000" w:themeColor="text1"/>
                <w:sz w:val="23"/>
                <w:szCs w:val="23"/>
              </w:rPr>
            </w:pPr>
          </w:p>
          <w:p w14:paraId="39036445" w14:textId="522A7E3C" w:rsidR="00022735" w:rsidRDefault="00022735" w:rsidP="3641494C">
            <w:pPr>
              <w:pStyle w:val="p9"/>
              <w:spacing w:before="210" w:beforeAutospacing="0" w:after="0" w:afterAutospacing="0" w:line="270" w:lineRule="atLeast"/>
              <w:rPr>
                <w:rFonts w:ascii="Calibri" w:eastAsia="Calibri" w:hAnsi="Calibri" w:cs="Calibri"/>
                <w:color w:val="000000" w:themeColor="text1"/>
                <w:sz w:val="23"/>
                <w:szCs w:val="23"/>
              </w:rPr>
            </w:pPr>
          </w:p>
          <w:p w14:paraId="4339B577" w14:textId="604D74E5" w:rsidR="00022735" w:rsidRDefault="00022735" w:rsidP="3641494C">
            <w:pPr>
              <w:pStyle w:val="p9"/>
              <w:spacing w:before="210" w:beforeAutospacing="0" w:after="0" w:afterAutospacing="0" w:line="270" w:lineRule="atLeast"/>
              <w:rPr>
                <w:rFonts w:ascii="Calibri" w:eastAsia="Calibri" w:hAnsi="Calibri" w:cs="Calibri"/>
                <w:color w:val="000000" w:themeColor="text1"/>
                <w:sz w:val="23"/>
                <w:szCs w:val="23"/>
              </w:rPr>
            </w:pPr>
            <w:r>
              <w:rPr>
                <w:rFonts w:ascii="Calibri" w:eastAsia="Calibri" w:hAnsi="Calibri" w:cs="Calibri"/>
                <w:color w:val="000000" w:themeColor="text1"/>
                <w:sz w:val="23"/>
                <w:szCs w:val="23"/>
              </w:rPr>
              <w:t>£9812</w:t>
            </w:r>
          </w:p>
          <w:p w14:paraId="2465B0B8" w14:textId="77777777" w:rsidR="005805E5" w:rsidRDefault="005805E5" w:rsidP="3641494C">
            <w:pPr>
              <w:pStyle w:val="p9"/>
              <w:spacing w:before="210" w:beforeAutospacing="0" w:after="0" w:afterAutospacing="0" w:line="270" w:lineRule="atLeast"/>
              <w:rPr>
                <w:rFonts w:ascii="Calibri" w:eastAsia="Calibri" w:hAnsi="Calibri" w:cs="Calibri"/>
                <w:color w:val="000000" w:themeColor="text1"/>
                <w:sz w:val="23"/>
                <w:szCs w:val="23"/>
              </w:rPr>
            </w:pPr>
          </w:p>
          <w:p w14:paraId="6D8ECF4C" w14:textId="77777777" w:rsidR="005805E5" w:rsidRDefault="005805E5" w:rsidP="3641494C">
            <w:pPr>
              <w:pStyle w:val="p9"/>
              <w:spacing w:before="210" w:beforeAutospacing="0" w:after="0" w:afterAutospacing="0" w:line="270" w:lineRule="atLeast"/>
              <w:rPr>
                <w:rFonts w:ascii="Calibri" w:eastAsia="Calibri" w:hAnsi="Calibri" w:cs="Calibri"/>
                <w:color w:val="000000" w:themeColor="text1"/>
                <w:sz w:val="23"/>
                <w:szCs w:val="23"/>
              </w:rPr>
            </w:pPr>
          </w:p>
          <w:p w14:paraId="3A91E6B3" w14:textId="1AB3959E" w:rsidR="005805E5" w:rsidRDefault="005805E5" w:rsidP="005805E5">
            <w:pPr>
              <w:pStyle w:val="p9"/>
              <w:spacing w:before="210" w:beforeAutospacing="0" w:after="0" w:afterAutospacing="0" w:line="270" w:lineRule="atLeast"/>
              <w:rPr>
                <w:rFonts w:ascii="Calibri" w:eastAsia="Calibri" w:hAnsi="Calibri" w:cs="Calibri"/>
                <w:color w:val="000000" w:themeColor="text1"/>
                <w:sz w:val="23"/>
                <w:szCs w:val="23"/>
              </w:rPr>
            </w:pPr>
          </w:p>
        </w:tc>
      </w:tr>
      <w:tr w:rsidR="00522034" w14:paraId="03FE5299" w14:textId="77777777" w:rsidTr="00121AE3">
        <w:tc>
          <w:tcPr>
            <w:tcW w:w="6941" w:type="dxa"/>
          </w:tcPr>
          <w:p w14:paraId="6203319C" w14:textId="77777777" w:rsidR="00522034" w:rsidRPr="00C058B9" w:rsidRDefault="00C058B9" w:rsidP="00C058B9">
            <w:pPr>
              <w:rPr>
                <w:b/>
              </w:rPr>
            </w:pPr>
            <w:r w:rsidRPr="00C058B9">
              <w:rPr>
                <w:b/>
              </w:rPr>
              <w:t>Barrier 4 – Access to Outstanding teaching</w:t>
            </w:r>
          </w:p>
          <w:p w14:paraId="53B31527" w14:textId="0C616C4D" w:rsidR="00C058B9" w:rsidRDefault="00C058B9" w:rsidP="00C058B9"/>
          <w:p w14:paraId="10847A47" w14:textId="78AEFF9F" w:rsidR="00E81BDC" w:rsidRDefault="00E81BDC" w:rsidP="00C058B9">
            <w:r w:rsidRPr="00E81BDC">
              <w:rPr>
                <w:b/>
              </w:rPr>
              <w:t>Science</w:t>
            </w:r>
            <w:r>
              <w:t xml:space="preserve"> – The development of a pilot Core Science S</w:t>
            </w:r>
            <w:r w:rsidR="00EC7B97">
              <w:t>kills programme</w:t>
            </w:r>
            <w:r>
              <w:t xml:space="preserve"> to address a lack of prior knowledge and ensure a strong foundation in key concepts to tackle underachievement. (To be led by new TLR holder in science and delivered in association with HLTA Science developing a model similar to that now embedded in Maths and Science)</w:t>
            </w:r>
          </w:p>
          <w:p w14:paraId="6F42DAF5" w14:textId="77777777" w:rsidR="00E81BDC" w:rsidRDefault="00E81BDC" w:rsidP="00C058B9"/>
          <w:p w14:paraId="71691D9F" w14:textId="12110880" w:rsidR="00C058B9" w:rsidRDefault="3641494C" w:rsidP="00C058B9">
            <w:r w:rsidRPr="3641494C">
              <w:rPr>
                <w:b/>
                <w:bCs/>
              </w:rPr>
              <w:t>Staff Training:</w:t>
            </w:r>
            <w:r>
              <w:t xml:space="preserve"> planning to meet the needs of all students; sharing best practice, standards and high expectations; support for underperforming teachers; addressing any lack of consistency in teaching quality across the school.</w:t>
            </w:r>
            <w:r w:rsidR="005805E5">
              <w:t xml:space="preserve"> </w:t>
            </w:r>
            <w:r w:rsidR="005805E5" w:rsidRPr="005805E5">
              <w:rPr>
                <w:i/>
              </w:rPr>
              <w:t>The programme of funded CPD to be condi</w:t>
            </w:r>
            <w:r w:rsidR="008419F6">
              <w:rPr>
                <w:i/>
              </w:rPr>
              <w:t xml:space="preserve">tional, requiring funded staff </w:t>
            </w:r>
            <w:r w:rsidR="005805E5" w:rsidRPr="005805E5">
              <w:rPr>
                <w:i/>
              </w:rPr>
              <w:t>to offer staff training during the term they attend a funded course.</w:t>
            </w:r>
            <w:r w:rsidR="008419F6">
              <w:rPr>
                <w:i/>
              </w:rPr>
              <w:t xml:space="preserve"> Priority to be given to training with a PP Focus.</w:t>
            </w:r>
          </w:p>
          <w:p w14:paraId="3D55CC78" w14:textId="33D41248" w:rsidR="00C058B9" w:rsidRDefault="3641494C" w:rsidP="3641494C">
            <w:pPr>
              <w:pStyle w:val="p9"/>
              <w:spacing w:before="210" w:beforeAutospacing="0" w:after="0" w:afterAutospacing="0" w:line="270" w:lineRule="atLeast"/>
              <w:rPr>
                <w:rFonts w:asciiTheme="minorHAnsi" w:eastAsiaTheme="minorEastAsia" w:hAnsiTheme="minorHAnsi" w:cstheme="minorBidi"/>
                <w:b/>
                <w:bCs/>
                <w:color w:val="0070C0"/>
                <w:sz w:val="22"/>
                <w:szCs w:val="22"/>
              </w:rPr>
            </w:pPr>
            <w:r w:rsidRPr="3641494C">
              <w:rPr>
                <w:rFonts w:asciiTheme="minorHAnsi" w:eastAsiaTheme="minorEastAsia" w:hAnsiTheme="minorHAnsi" w:cstheme="minorBidi"/>
                <w:b/>
                <w:bCs/>
                <w:color w:val="0070C0"/>
                <w:sz w:val="22"/>
                <w:szCs w:val="22"/>
              </w:rPr>
              <w:t xml:space="preserve">Impact measured by </w:t>
            </w:r>
          </w:p>
          <w:p w14:paraId="209CA0DD" w14:textId="7B55679D" w:rsidR="00E81BDC" w:rsidRDefault="005805E5" w:rsidP="3641494C">
            <w:pPr>
              <w:pStyle w:val="p9"/>
              <w:spacing w:before="210" w:beforeAutospacing="0" w:after="0" w:afterAutospacing="0" w:line="270" w:lineRule="atLeast"/>
              <w:rPr>
                <w:rFonts w:asciiTheme="minorHAnsi" w:eastAsiaTheme="minorEastAsia" w:hAnsiTheme="minorHAnsi" w:cstheme="minorBidi"/>
                <w:b/>
                <w:bCs/>
                <w:color w:val="0070C0"/>
                <w:sz w:val="22"/>
                <w:szCs w:val="22"/>
              </w:rPr>
            </w:pPr>
            <w:r>
              <w:rPr>
                <w:rFonts w:asciiTheme="minorHAnsi" w:eastAsiaTheme="minorEastAsia" w:hAnsiTheme="minorHAnsi" w:cstheme="minorBidi"/>
                <w:b/>
                <w:bCs/>
                <w:color w:val="0070C0"/>
                <w:sz w:val="22"/>
                <w:szCs w:val="22"/>
              </w:rPr>
              <w:t>Data tracking in Science</w:t>
            </w:r>
          </w:p>
          <w:p w14:paraId="5CBE24E6" w14:textId="327FCA94" w:rsidR="00C058B9" w:rsidRDefault="3641494C" w:rsidP="3641494C">
            <w:pPr>
              <w:rPr>
                <w:color w:val="0070C0"/>
              </w:rPr>
            </w:pPr>
            <w:r w:rsidRPr="3641494C">
              <w:rPr>
                <w:color w:val="0070C0"/>
              </w:rPr>
              <w:t xml:space="preserve">Individual staff appraisal processes </w:t>
            </w:r>
          </w:p>
          <w:p w14:paraId="072C85DB" w14:textId="77777777" w:rsidR="00C058B9" w:rsidRDefault="3641494C" w:rsidP="3641494C">
            <w:pPr>
              <w:rPr>
                <w:color w:val="0070C0"/>
              </w:rPr>
            </w:pPr>
            <w:r w:rsidRPr="3641494C">
              <w:rPr>
                <w:color w:val="0070C0"/>
              </w:rPr>
              <w:t xml:space="preserve">QA work of departments and the senior leadership team </w:t>
            </w:r>
          </w:p>
          <w:p w14:paraId="5F6B133D" w14:textId="602BEEAB" w:rsidR="00C058B9" w:rsidRPr="00C058B9" w:rsidRDefault="3641494C" w:rsidP="3641494C">
            <w:pPr>
              <w:rPr>
                <w:color w:val="0070C0"/>
              </w:rPr>
            </w:pPr>
            <w:r w:rsidRPr="3641494C">
              <w:rPr>
                <w:color w:val="0070C0"/>
              </w:rPr>
              <w:t>Outcomes for disadvantaged students over time</w:t>
            </w:r>
          </w:p>
          <w:p w14:paraId="2FDCD408" w14:textId="32CA805F" w:rsidR="00C058B9" w:rsidRPr="00C058B9" w:rsidRDefault="00C058B9" w:rsidP="3641494C">
            <w:pPr>
              <w:rPr>
                <w:rFonts w:ascii="Calibri" w:hAnsi="Calibri"/>
                <w:color w:val="000000"/>
                <w:sz w:val="23"/>
                <w:szCs w:val="23"/>
              </w:rPr>
            </w:pPr>
          </w:p>
        </w:tc>
        <w:tc>
          <w:tcPr>
            <w:tcW w:w="2075" w:type="dxa"/>
          </w:tcPr>
          <w:p w14:paraId="6F32D50B" w14:textId="168A6211" w:rsidR="00522034" w:rsidRDefault="00522034" w:rsidP="00522034">
            <w:pPr>
              <w:pStyle w:val="p9"/>
              <w:spacing w:before="210" w:beforeAutospacing="0" w:after="0" w:afterAutospacing="0" w:line="270" w:lineRule="atLeast"/>
              <w:rPr>
                <w:rFonts w:ascii="Calibri" w:hAnsi="Calibri"/>
                <w:color w:val="000000"/>
                <w:sz w:val="23"/>
                <w:szCs w:val="23"/>
              </w:rPr>
            </w:pPr>
          </w:p>
          <w:p w14:paraId="55E0D6BA" w14:textId="2D9A9263" w:rsidR="00022735" w:rsidRDefault="00022735" w:rsidP="00522034">
            <w:pPr>
              <w:pStyle w:val="p9"/>
              <w:spacing w:before="210" w:beforeAutospacing="0" w:after="0" w:afterAutospacing="0" w:line="270" w:lineRule="atLeast"/>
              <w:rPr>
                <w:rFonts w:ascii="Calibri" w:hAnsi="Calibri"/>
                <w:color w:val="000000"/>
                <w:sz w:val="23"/>
                <w:szCs w:val="23"/>
              </w:rPr>
            </w:pPr>
          </w:p>
          <w:p w14:paraId="1DEE9A43" w14:textId="65A0BBF4" w:rsidR="00022735" w:rsidRDefault="00022735" w:rsidP="00522034">
            <w:pPr>
              <w:pStyle w:val="p9"/>
              <w:spacing w:before="210" w:beforeAutospacing="0" w:after="0" w:afterAutospacing="0" w:line="270" w:lineRule="atLeast"/>
              <w:rPr>
                <w:rFonts w:ascii="Calibri" w:hAnsi="Calibri"/>
                <w:color w:val="000000"/>
                <w:sz w:val="23"/>
                <w:szCs w:val="23"/>
              </w:rPr>
            </w:pPr>
          </w:p>
          <w:p w14:paraId="625761A5" w14:textId="6E149CAD" w:rsidR="00022735" w:rsidRDefault="00022735" w:rsidP="00522034">
            <w:pPr>
              <w:pStyle w:val="p9"/>
              <w:spacing w:before="210" w:beforeAutospacing="0" w:after="0" w:afterAutospacing="0" w:line="270" w:lineRule="atLeast"/>
              <w:rPr>
                <w:rFonts w:ascii="Calibri" w:hAnsi="Calibri"/>
                <w:color w:val="000000"/>
                <w:sz w:val="23"/>
                <w:szCs w:val="23"/>
              </w:rPr>
            </w:pPr>
            <w:r>
              <w:rPr>
                <w:rFonts w:ascii="Calibri" w:hAnsi="Calibri"/>
                <w:color w:val="000000"/>
                <w:sz w:val="23"/>
                <w:szCs w:val="23"/>
              </w:rPr>
              <w:t>£3500</w:t>
            </w:r>
          </w:p>
          <w:p w14:paraId="5A4C82B1" w14:textId="77777777" w:rsidR="005805E5" w:rsidRDefault="005805E5" w:rsidP="00522034">
            <w:pPr>
              <w:pStyle w:val="p9"/>
              <w:spacing w:before="210" w:beforeAutospacing="0" w:after="0" w:afterAutospacing="0" w:line="270" w:lineRule="atLeast"/>
              <w:rPr>
                <w:rFonts w:ascii="Calibri" w:hAnsi="Calibri"/>
                <w:color w:val="000000"/>
                <w:sz w:val="23"/>
                <w:szCs w:val="23"/>
              </w:rPr>
            </w:pPr>
          </w:p>
          <w:p w14:paraId="35551315" w14:textId="77777777" w:rsidR="005805E5" w:rsidRDefault="005805E5" w:rsidP="00522034">
            <w:pPr>
              <w:pStyle w:val="p9"/>
              <w:spacing w:before="210" w:beforeAutospacing="0" w:after="0" w:afterAutospacing="0" w:line="270" w:lineRule="atLeast"/>
              <w:rPr>
                <w:rFonts w:ascii="Calibri" w:hAnsi="Calibri"/>
                <w:color w:val="000000"/>
                <w:sz w:val="23"/>
                <w:szCs w:val="23"/>
              </w:rPr>
            </w:pPr>
          </w:p>
          <w:p w14:paraId="28346274" w14:textId="77777777" w:rsidR="005805E5" w:rsidRDefault="005805E5" w:rsidP="00522034">
            <w:pPr>
              <w:pStyle w:val="p9"/>
              <w:spacing w:before="210" w:beforeAutospacing="0" w:after="0" w:afterAutospacing="0" w:line="270" w:lineRule="atLeast"/>
              <w:rPr>
                <w:rFonts w:ascii="Calibri" w:hAnsi="Calibri"/>
                <w:color w:val="000000"/>
                <w:sz w:val="23"/>
                <w:szCs w:val="23"/>
              </w:rPr>
            </w:pPr>
          </w:p>
          <w:p w14:paraId="4AC18E81" w14:textId="77777777" w:rsidR="005805E5" w:rsidRDefault="005805E5" w:rsidP="00522034">
            <w:pPr>
              <w:pStyle w:val="p9"/>
              <w:spacing w:before="210" w:beforeAutospacing="0" w:after="0" w:afterAutospacing="0" w:line="270" w:lineRule="atLeast"/>
              <w:rPr>
                <w:rFonts w:ascii="Calibri" w:hAnsi="Calibri"/>
                <w:color w:val="000000"/>
                <w:sz w:val="23"/>
                <w:szCs w:val="23"/>
              </w:rPr>
            </w:pPr>
          </w:p>
          <w:p w14:paraId="49102151" w14:textId="77777777" w:rsidR="005805E5" w:rsidRDefault="005805E5" w:rsidP="00522034">
            <w:pPr>
              <w:pStyle w:val="p9"/>
              <w:spacing w:before="210" w:beforeAutospacing="0" w:after="0" w:afterAutospacing="0" w:line="270" w:lineRule="atLeast"/>
              <w:rPr>
                <w:rFonts w:ascii="Calibri" w:hAnsi="Calibri"/>
                <w:color w:val="000000"/>
                <w:sz w:val="23"/>
                <w:szCs w:val="23"/>
              </w:rPr>
            </w:pPr>
          </w:p>
          <w:p w14:paraId="0F5DC1C1" w14:textId="77777777" w:rsidR="005805E5" w:rsidRDefault="005805E5" w:rsidP="00522034">
            <w:pPr>
              <w:pStyle w:val="p9"/>
              <w:spacing w:before="210" w:beforeAutospacing="0" w:after="0" w:afterAutospacing="0" w:line="270" w:lineRule="atLeast"/>
              <w:rPr>
                <w:rFonts w:ascii="Calibri" w:hAnsi="Calibri"/>
                <w:color w:val="000000"/>
                <w:sz w:val="23"/>
                <w:szCs w:val="23"/>
              </w:rPr>
            </w:pPr>
          </w:p>
          <w:p w14:paraId="70F25C20" w14:textId="77777777" w:rsidR="005805E5" w:rsidRDefault="005805E5" w:rsidP="00522034">
            <w:pPr>
              <w:pStyle w:val="p9"/>
              <w:spacing w:before="210" w:beforeAutospacing="0" w:after="0" w:afterAutospacing="0" w:line="270" w:lineRule="atLeast"/>
              <w:rPr>
                <w:rFonts w:ascii="Calibri" w:hAnsi="Calibri"/>
                <w:color w:val="000000"/>
                <w:sz w:val="23"/>
                <w:szCs w:val="23"/>
              </w:rPr>
            </w:pPr>
          </w:p>
          <w:p w14:paraId="519D388F" w14:textId="77777777" w:rsidR="005805E5" w:rsidRDefault="005805E5" w:rsidP="00522034">
            <w:pPr>
              <w:pStyle w:val="p9"/>
              <w:spacing w:before="210" w:beforeAutospacing="0" w:after="0" w:afterAutospacing="0" w:line="270" w:lineRule="atLeast"/>
              <w:rPr>
                <w:rFonts w:ascii="Calibri" w:hAnsi="Calibri"/>
                <w:color w:val="000000"/>
                <w:sz w:val="23"/>
                <w:szCs w:val="23"/>
              </w:rPr>
            </w:pPr>
          </w:p>
          <w:p w14:paraId="7E395FCC" w14:textId="77777777" w:rsidR="005805E5" w:rsidRDefault="005805E5" w:rsidP="00522034">
            <w:pPr>
              <w:pStyle w:val="p9"/>
              <w:spacing w:before="210" w:beforeAutospacing="0" w:after="0" w:afterAutospacing="0" w:line="270" w:lineRule="atLeast"/>
              <w:rPr>
                <w:rFonts w:ascii="Calibri" w:hAnsi="Calibri"/>
                <w:color w:val="000000"/>
                <w:sz w:val="23"/>
                <w:szCs w:val="23"/>
              </w:rPr>
            </w:pPr>
          </w:p>
          <w:p w14:paraId="4296B638" w14:textId="62C20EA4" w:rsidR="005805E5" w:rsidRDefault="005805E5" w:rsidP="00522034">
            <w:pPr>
              <w:pStyle w:val="p9"/>
              <w:spacing w:before="210" w:beforeAutospacing="0" w:after="0" w:afterAutospacing="0" w:line="270" w:lineRule="atLeast"/>
              <w:rPr>
                <w:rFonts w:ascii="Calibri" w:hAnsi="Calibri"/>
                <w:color w:val="000000"/>
                <w:sz w:val="23"/>
                <w:szCs w:val="23"/>
              </w:rPr>
            </w:pPr>
          </w:p>
        </w:tc>
      </w:tr>
      <w:tr w:rsidR="00522034" w14:paraId="3590F33D" w14:textId="77777777" w:rsidTr="00121AE3">
        <w:tc>
          <w:tcPr>
            <w:tcW w:w="6941" w:type="dxa"/>
          </w:tcPr>
          <w:p w14:paraId="447F02B5" w14:textId="2D2FD995" w:rsidR="00522034" w:rsidRDefault="00B22928" w:rsidP="00522034">
            <w:pPr>
              <w:pStyle w:val="p9"/>
              <w:spacing w:before="210" w:beforeAutospacing="0" w:after="0" w:afterAutospacing="0" w:line="270" w:lineRule="atLeast"/>
              <w:rPr>
                <w:rFonts w:ascii="Calibri" w:hAnsi="Calibri"/>
                <w:b/>
                <w:color w:val="000000"/>
                <w:sz w:val="23"/>
                <w:szCs w:val="23"/>
              </w:rPr>
            </w:pPr>
            <w:r>
              <w:rPr>
                <w:rFonts w:ascii="Calibri" w:hAnsi="Calibri"/>
                <w:b/>
                <w:color w:val="000000"/>
                <w:sz w:val="23"/>
                <w:szCs w:val="23"/>
              </w:rPr>
              <w:lastRenderedPageBreak/>
              <w:t>Barrier 5 – P</w:t>
            </w:r>
            <w:r w:rsidR="00C058B9">
              <w:rPr>
                <w:rFonts w:ascii="Calibri" w:hAnsi="Calibri"/>
                <w:b/>
                <w:color w:val="000000"/>
                <w:sz w:val="23"/>
                <w:szCs w:val="23"/>
              </w:rPr>
              <w:t xml:space="preserve">oorer attendance at school </w:t>
            </w:r>
          </w:p>
          <w:p w14:paraId="2E56CB27" w14:textId="69CE1F62" w:rsidR="00C058B9" w:rsidRDefault="00C058B9" w:rsidP="00522034">
            <w:pPr>
              <w:pStyle w:val="p9"/>
              <w:spacing w:before="210" w:beforeAutospacing="0" w:after="0" w:afterAutospacing="0" w:line="270" w:lineRule="atLeast"/>
              <w:rPr>
                <w:rFonts w:ascii="Calibri" w:hAnsi="Calibri"/>
                <w:color w:val="000000"/>
                <w:sz w:val="23"/>
                <w:szCs w:val="23"/>
              </w:rPr>
            </w:pPr>
            <w:r>
              <w:rPr>
                <w:rFonts w:ascii="Calibri" w:hAnsi="Calibri"/>
                <w:b/>
                <w:color w:val="000000"/>
                <w:sz w:val="23"/>
                <w:szCs w:val="23"/>
              </w:rPr>
              <w:t xml:space="preserve">To continue to improve attendance </w:t>
            </w:r>
            <w:r>
              <w:rPr>
                <w:rFonts w:ascii="Calibri" w:hAnsi="Calibri"/>
                <w:color w:val="000000"/>
                <w:sz w:val="23"/>
                <w:szCs w:val="23"/>
              </w:rPr>
              <w:t>and reduce persistent absenteeism amongst PP students.</w:t>
            </w:r>
          </w:p>
          <w:p w14:paraId="259B6683" w14:textId="4BD07C57" w:rsidR="005805E5" w:rsidRDefault="005805E5" w:rsidP="00E81BDC">
            <w:pPr>
              <w:pStyle w:val="p9"/>
              <w:numPr>
                <w:ilvl w:val="0"/>
                <w:numId w:val="9"/>
              </w:numPr>
              <w:spacing w:before="210" w:beforeAutospacing="0" w:after="0" w:afterAutospacing="0" w:line="270" w:lineRule="atLeast"/>
              <w:rPr>
                <w:rFonts w:ascii="Calibri" w:hAnsi="Calibri"/>
                <w:color w:val="000000"/>
                <w:sz w:val="23"/>
                <w:szCs w:val="23"/>
              </w:rPr>
            </w:pPr>
            <w:r>
              <w:rPr>
                <w:rFonts w:ascii="Calibri" w:hAnsi="Calibri"/>
                <w:color w:val="000000"/>
                <w:sz w:val="23"/>
                <w:szCs w:val="23"/>
              </w:rPr>
              <w:t>Parental engagement programmes (detailed and costed above)</w:t>
            </w:r>
          </w:p>
          <w:p w14:paraId="2396DA87" w14:textId="57F00881" w:rsidR="00E81BDC" w:rsidRDefault="00E81BDC" w:rsidP="00E81BDC">
            <w:pPr>
              <w:pStyle w:val="p9"/>
              <w:numPr>
                <w:ilvl w:val="0"/>
                <w:numId w:val="9"/>
              </w:numPr>
              <w:spacing w:before="210" w:beforeAutospacing="0" w:after="0" w:afterAutospacing="0" w:line="270" w:lineRule="atLeast"/>
              <w:rPr>
                <w:rFonts w:ascii="Calibri" w:hAnsi="Calibri"/>
                <w:color w:val="000000"/>
                <w:sz w:val="23"/>
                <w:szCs w:val="23"/>
              </w:rPr>
            </w:pPr>
            <w:r>
              <w:rPr>
                <w:rFonts w:ascii="Calibri" w:hAnsi="Calibri"/>
                <w:color w:val="000000"/>
                <w:sz w:val="23"/>
                <w:szCs w:val="23"/>
              </w:rPr>
              <w:t>The development of specific incentives and opportunities for PP students and their families linked to attendance targets.</w:t>
            </w:r>
            <w:r w:rsidR="005805E5">
              <w:rPr>
                <w:rFonts w:ascii="Calibri" w:hAnsi="Calibri"/>
                <w:color w:val="000000"/>
                <w:sz w:val="23"/>
                <w:szCs w:val="23"/>
              </w:rPr>
              <w:t xml:space="preserve"> (Jamie Milligan courses, stadium tours, cinema tickets, Blackpool attractions tickets, YMCA passes and supermarket vouchers etc)</w:t>
            </w:r>
          </w:p>
          <w:p w14:paraId="0DC7BBD6" w14:textId="77777777" w:rsidR="00C058B9" w:rsidRPr="009A0E85" w:rsidRDefault="009A0E85" w:rsidP="009A0E85">
            <w:pPr>
              <w:pStyle w:val="ListParagraph"/>
              <w:numPr>
                <w:ilvl w:val="0"/>
                <w:numId w:val="5"/>
              </w:numPr>
              <w:rPr>
                <w:color w:val="000000"/>
                <w:szCs w:val="23"/>
              </w:rPr>
            </w:pPr>
            <w:r w:rsidRPr="009A0E85">
              <w:t>Student Inclusion Worker. A vital part of the Inclusion team providing home school liaison, supporting families to ensure children are in school and able to learn. (2/5 days’ work)</w:t>
            </w:r>
          </w:p>
          <w:p w14:paraId="7F980699" w14:textId="60841B74" w:rsidR="3641494C" w:rsidRDefault="3641494C" w:rsidP="3641494C">
            <w:pPr>
              <w:rPr>
                <w:rFonts w:ascii="Calibri" w:eastAsia="Calibri" w:hAnsi="Calibri" w:cs="Calibri"/>
                <w:b/>
                <w:bCs/>
                <w:color w:val="0070C0"/>
                <w:sz w:val="23"/>
                <w:szCs w:val="23"/>
              </w:rPr>
            </w:pPr>
          </w:p>
          <w:p w14:paraId="2A106BCF" w14:textId="33B36536" w:rsidR="009A0E85" w:rsidRPr="009A0E85" w:rsidRDefault="3641494C" w:rsidP="3641494C">
            <w:pPr>
              <w:rPr>
                <w:rFonts w:ascii="Calibri" w:eastAsia="Calibri" w:hAnsi="Calibri" w:cs="Calibri"/>
                <w:color w:val="0070C0"/>
                <w:sz w:val="23"/>
                <w:szCs w:val="23"/>
              </w:rPr>
            </w:pPr>
            <w:r w:rsidRPr="3641494C">
              <w:rPr>
                <w:rFonts w:ascii="Calibri" w:eastAsia="Calibri" w:hAnsi="Calibri" w:cs="Calibri"/>
                <w:b/>
                <w:bCs/>
                <w:color w:val="0070C0"/>
                <w:sz w:val="23"/>
                <w:szCs w:val="23"/>
              </w:rPr>
              <w:t xml:space="preserve">Impact measured by: </w:t>
            </w:r>
            <w:r w:rsidRPr="3641494C">
              <w:rPr>
                <w:rFonts w:ascii="Calibri" w:eastAsia="Calibri" w:hAnsi="Calibri" w:cs="Calibri"/>
                <w:color w:val="0070C0"/>
                <w:sz w:val="23"/>
                <w:szCs w:val="23"/>
              </w:rPr>
              <w:t>Attendance and punctuality of FSM and CLA</w:t>
            </w:r>
          </w:p>
          <w:p w14:paraId="51E99BE6" w14:textId="7C6EB5BB" w:rsidR="009A0E85" w:rsidRPr="009A0E85" w:rsidRDefault="009A0E85" w:rsidP="3641494C">
            <w:pPr>
              <w:rPr>
                <w:rFonts w:ascii="Calibri" w:eastAsia="Calibri" w:hAnsi="Calibri" w:cs="Calibri"/>
                <w:color w:val="000000" w:themeColor="text1"/>
                <w:sz w:val="23"/>
                <w:szCs w:val="23"/>
              </w:rPr>
            </w:pPr>
          </w:p>
        </w:tc>
        <w:tc>
          <w:tcPr>
            <w:tcW w:w="2075" w:type="dxa"/>
          </w:tcPr>
          <w:p w14:paraId="68F27239" w14:textId="77777777" w:rsidR="00E81BDC" w:rsidRDefault="00E81BDC" w:rsidP="00522034">
            <w:pPr>
              <w:pStyle w:val="p9"/>
              <w:spacing w:before="210" w:beforeAutospacing="0" w:after="0" w:afterAutospacing="0" w:line="270" w:lineRule="atLeast"/>
              <w:rPr>
                <w:rFonts w:ascii="Calibri" w:hAnsi="Calibri"/>
                <w:color w:val="000000"/>
                <w:sz w:val="23"/>
                <w:szCs w:val="23"/>
              </w:rPr>
            </w:pPr>
          </w:p>
          <w:p w14:paraId="119ADEA8" w14:textId="77777777" w:rsidR="00E81BDC" w:rsidRDefault="00E81BDC" w:rsidP="00522034">
            <w:pPr>
              <w:pStyle w:val="p9"/>
              <w:spacing w:before="210" w:beforeAutospacing="0" w:after="0" w:afterAutospacing="0" w:line="270" w:lineRule="atLeast"/>
              <w:rPr>
                <w:rFonts w:ascii="Calibri" w:hAnsi="Calibri"/>
                <w:color w:val="000000"/>
                <w:sz w:val="23"/>
                <w:szCs w:val="23"/>
              </w:rPr>
            </w:pPr>
          </w:p>
          <w:p w14:paraId="60480A6A" w14:textId="3F60FD40" w:rsidR="00E81BDC" w:rsidRDefault="00022735" w:rsidP="00522034">
            <w:pPr>
              <w:pStyle w:val="p9"/>
              <w:spacing w:before="210" w:beforeAutospacing="0" w:after="0" w:afterAutospacing="0" w:line="270" w:lineRule="atLeast"/>
              <w:rPr>
                <w:rFonts w:ascii="Calibri" w:hAnsi="Calibri"/>
                <w:color w:val="000000"/>
                <w:sz w:val="23"/>
                <w:szCs w:val="23"/>
              </w:rPr>
            </w:pPr>
            <w:r>
              <w:rPr>
                <w:rFonts w:ascii="Calibri" w:hAnsi="Calibri"/>
                <w:color w:val="000000"/>
                <w:sz w:val="23"/>
                <w:szCs w:val="23"/>
              </w:rPr>
              <w:t>£10,979</w:t>
            </w:r>
          </w:p>
          <w:p w14:paraId="7B77938C" w14:textId="77777777" w:rsidR="00E81BDC" w:rsidRDefault="00E81BDC" w:rsidP="00522034">
            <w:pPr>
              <w:pStyle w:val="p9"/>
              <w:spacing w:before="210" w:beforeAutospacing="0" w:after="0" w:afterAutospacing="0" w:line="270" w:lineRule="atLeast"/>
              <w:rPr>
                <w:rFonts w:ascii="Calibri" w:hAnsi="Calibri"/>
                <w:color w:val="000000"/>
                <w:sz w:val="23"/>
                <w:szCs w:val="23"/>
              </w:rPr>
            </w:pPr>
          </w:p>
          <w:p w14:paraId="2213AF5A" w14:textId="2DBD80F8" w:rsidR="00522034" w:rsidRDefault="00522034" w:rsidP="00522034">
            <w:pPr>
              <w:pStyle w:val="p9"/>
              <w:spacing w:before="210" w:beforeAutospacing="0" w:after="0" w:afterAutospacing="0" w:line="270" w:lineRule="atLeast"/>
              <w:rPr>
                <w:rFonts w:ascii="Calibri" w:hAnsi="Calibri"/>
                <w:color w:val="000000"/>
                <w:sz w:val="23"/>
                <w:szCs w:val="23"/>
              </w:rPr>
            </w:pPr>
          </w:p>
        </w:tc>
      </w:tr>
      <w:tr w:rsidR="00522034" w14:paraId="5F92452F" w14:textId="77777777" w:rsidTr="00121AE3">
        <w:tc>
          <w:tcPr>
            <w:tcW w:w="6941" w:type="dxa"/>
          </w:tcPr>
          <w:p w14:paraId="531605C2" w14:textId="77777777" w:rsidR="00522034" w:rsidRDefault="009A0E85" w:rsidP="00522034">
            <w:pPr>
              <w:pStyle w:val="p9"/>
              <w:spacing w:before="210" w:beforeAutospacing="0" w:after="0" w:afterAutospacing="0" w:line="270" w:lineRule="atLeast"/>
              <w:rPr>
                <w:rFonts w:asciiTheme="minorHAnsi" w:hAnsiTheme="minorHAnsi"/>
                <w:b/>
                <w:sz w:val="22"/>
              </w:rPr>
            </w:pPr>
            <w:r w:rsidRPr="009A0E85">
              <w:rPr>
                <w:rFonts w:asciiTheme="minorHAnsi" w:hAnsiTheme="minorHAnsi"/>
                <w:b/>
                <w:sz w:val="22"/>
              </w:rPr>
              <w:t>Leadership and management of the strategy Contribution to the salaries of:</w:t>
            </w:r>
          </w:p>
          <w:p w14:paraId="59E69105" w14:textId="77777777" w:rsidR="009A0E85" w:rsidRPr="009A0E85" w:rsidRDefault="009A0E85" w:rsidP="009A0E85">
            <w:pPr>
              <w:pStyle w:val="ListParagraph"/>
              <w:numPr>
                <w:ilvl w:val="0"/>
                <w:numId w:val="7"/>
              </w:numPr>
              <w:rPr>
                <w:b/>
                <w:color w:val="000000"/>
                <w:sz w:val="23"/>
                <w:szCs w:val="23"/>
              </w:rPr>
            </w:pPr>
            <w:r>
              <w:t>Inclusion/Intervention Leads in English and Maths</w:t>
            </w:r>
          </w:p>
          <w:p w14:paraId="64AAEA9C" w14:textId="2A66BEA3" w:rsidR="009A0E85" w:rsidRPr="00624941" w:rsidRDefault="009A0E85" w:rsidP="009A0E85">
            <w:pPr>
              <w:pStyle w:val="ListParagraph"/>
              <w:numPr>
                <w:ilvl w:val="0"/>
                <w:numId w:val="7"/>
              </w:numPr>
              <w:rPr>
                <w:b/>
                <w:color w:val="000000"/>
                <w:sz w:val="23"/>
                <w:szCs w:val="23"/>
              </w:rPr>
            </w:pPr>
            <w:r>
              <w:t>Inclusion Lead in Science TLR2a</w:t>
            </w:r>
          </w:p>
          <w:p w14:paraId="22951F47" w14:textId="77777777" w:rsidR="00022735" w:rsidRDefault="00022735" w:rsidP="3641494C">
            <w:pPr>
              <w:rPr>
                <w:color w:val="0070C0"/>
              </w:rPr>
            </w:pPr>
          </w:p>
          <w:p w14:paraId="55435C86" w14:textId="6A8F9D5E" w:rsidR="009A0E85" w:rsidRPr="009A0E85" w:rsidRDefault="3641494C" w:rsidP="3641494C">
            <w:pPr>
              <w:rPr>
                <w:b/>
                <w:bCs/>
                <w:color w:val="000000" w:themeColor="text1"/>
                <w:sz w:val="23"/>
                <w:szCs w:val="23"/>
              </w:rPr>
            </w:pPr>
            <w:r w:rsidRPr="3641494C">
              <w:rPr>
                <w:color w:val="0070C0"/>
              </w:rPr>
              <w:t>Impact measured by all of the above data and evidence plus end of year Narrowing the Gap report and analysis</w:t>
            </w:r>
            <w:r>
              <w:t>.</w:t>
            </w:r>
          </w:p>
          <w:p w14:paraId="427FCD10" w14:textId="25AB527E" w:rsidR="009A0E85" w:rsidRPr="009A0E85" w:rsidRDefault="009A0E85" w:rsidP="3641494C">
            <w:pPr>
              <w:rPr>
                <w:b/>
                <w:color w:val="000000"/>
                <w:sz w:val="23"/>
                <w:szCs w:val="23"/>
              </w:rPr>
            </w:pPr>
          </w:p>
        </w:tc>
        <w:tc>
          <w:tcPr>
            <w:tcW w:w="2075" w:type="dxa"/>
          </w:tcPr>
          <w:p w14:paraId="7E00BFEF" w14:textId="27CB8618" w:rsidR="00B17424" w:rsidRDefault="00B17424" w:rsidP="00522034">
            <w:pPr>
              <w:pStyle w:val="p9"/>
              <w:spacing w:before="210" w:beforeAutospacing="0" w:after="0" w:afterAutospacing="0" w:line="270" w:lineRule="atLeast"/>
              <w:rPr>
                <w:rFonts w:ascii="Calibri" w:hAnsi="Calibri"/>
                <w:color w:val="000000"/>
                <w:sz w:val="23"/>
                <w:szCs w:val="23"/>
              </w:rPr>
            </w:pPr>
          </w:p>
          <w:p w14:paraId="0891F157" w14:textId="432B2DFA" w:rsidR="00022735" w:rsidRDefault="00022735" w:rsidP="00522034">
            <w:pPr>
              <w:pStyle w:val="p9"/>
              <w:spacing w:before="210" w:beforeAutospacing="0" w:after="0" w:afterAutospacing="0" w:line="270" w:lineRule="atLeast"/>
              <w:rPr>
                <w:rFonts w:ascii="Calibri" w:hAnsi="Calibri"/>
                <w:color w:val="000000"/>
                <w:sz w:val="23"/>
                <w:szCs w:val="23"/>
              </w:rPr>
            </w:pPr>
            <w:r>
              <w:rPr>
                <w:rFonts w:ascii="Calibri" w:hAnsi="Calibri"/>
                <w:color w:val="000000"/>
                <w:sz w:val="23"/>
                <w:szCs w:val="23"/>
              </w:rPr>
              <w:t>£16,984</w:t>
            </w:r>
          </w:p>
          <w:p w14:paraId="62BFD355" w14:textId="151A51B6" w:rsidR="00D35B03" w:rsidRDefault="00D35B03" w:rsidP="00522034">
            <w:pPr>
              <w:pStyle w:val="p9"/>
              <w:spacing w:before="210" w:beforeAutospacing="0" w:after="0" w:afterAutospacing="0" w:line="270" w:lineRule="atLeast"/>
              <w:rPr>
                <w:rFonts w:ascii="Calibri" w:hAnsi="Calibri"/>
                <w:color w:val="000000"/>
                <w:sz w:val="23"/>
                <w:szCs w:val="23"/>
              </w:rPr>
            </w:pPr>
          </w:p>
        </w:tc>
      </w:tr>
      <w:tr w:rsidR="00522034" w14:paraId="223310B5" w14:textId="77777777" w:rsidTr="00121AE3">
        <w:tc>
          <w:tcPr>
            <w:tcW w:w="6941" w:type="dxa"/>
          </w:tcPr>
          <w:p w14:paraId="3E71CE97" w14:textId="77777777" w:rsidR="00522034" w:rsidRPr="00D35B03" w:rsidRDefault="00D35B03" w:rsidP="00522034">
            <w:pPr>
              <w:pStyle w:val="p9"/>
              <w:spacing w:before="210" w:beforeAutospacing="0" w:after="0" w:afterAutospacing="0" w:line="270" w:lineRule="atLeast"/>
              <w:rPr>
                <w:rFonts w:ascii="Calibri" w:hAnsi="Calibri"/>
                <w:b/>
                <w:color w:val="000000"/>
                <w:sz w:val="23"/>
                <w:szCs w:val="23"/>
              </w:rPr>
            </w:pPr>
            <w:r>
              <w:rPr>
                <w:rFonts w:ascii="Calibri" w:hAnsi="Calibri"/>
                <w:b/>
                <w:color w:val="000000"/>
                <w:sz w:val="23"/>
                <w:szCs w:val="23"/>
              </w:rPr>
              <w:t>Total planned PP Spend</w:t>
            </w:r>
          </w:p>
        </w:tc>
        <w:tc>
          <w:tcPr>
            <w:tcW w:w="2075" w:type="dxa"/>
          </w:tcPr>
          <w:p w14:paraId="79BA7EEA" w14:textId="5A8702C8" w:rsidR="00522034" w:rsidRDefault="00345E0D" w:rsidP="00522034">
            <w:pPr>
              <w:pStyle w:val="p9"/>
              <w:spacing w:before="210" w:beforeAutospacing="0" w:after="0" w:afterAutospacing="0" w:line="270" w:lineRule="atLeast"/>
              <w:rPr>
                <w:rFonts w:ascii="Calibri" w:hAnsi="Calibri"/>
                <w:color w:val="000000"/>
                <w:sz w:val="23"/>
                <w:szCs w:val="23"/>
              </w:rPr>
            </w:pPr>
            <w:r>
              <w:rPr>
                <w:rFonts w:ascii="Calibri" w:hAnsi="Calibri"/>
                <w:color w:val="000000"/>
                <w:sz w:val="23"/>
                <w:szCs w:val="23"/>
              </w:rPr>
              <w:t>£270,190.</w:t>
            </w:r>
          </w:p>
        </w:tc>
      </w:tr>
    </w:tbl>
    <w:p w14:paraId="445DF83C" w14:textId="77777777" w:rsidR="00522034" w:rsidRPr="00522034" w:rsidRDefault="00522034" w:rsidP="00522034">
      <w:pPr>
        <w:pStyle w:val="p9"/>
        <w:spacing w:before="210" w:beforeAutospacing="0" w:after="0" w:afterAutospacing="0" w:line="270" w:lineRule="atLeast"/>
        <w:rPr>
          <w:rFonts w:ascii="Calibri" w:hAnsi="Calibri"/>
          <w:color w:val="000000"/>
          <w:sz w:val="23"/>
          <w:szCs w:val="23"/>
        </w:rPr>
      </w:pPr>
    </w:p>
    <w:sectPr w:rsidR="00522034" w:rsidRPr="00522034" w:rsidSect="00121A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843E1"/>
    <w:multiLevelType w:val="hybridMultilevel"/>
    <w:tmpl w:val="7FDE0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5A1F5C"/>
    <w:multiLevelType w:val="hybridMultilevel"/>
    <w:tmpl w:val="CC485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304C8C"/>
    <w:multiLevelType w:val="hybridMultilevel"/>
    <w:tmpl w:val="9CD2BB56"/>
    <w:lvl w:ilvl="0" w:tplc="8A625926">
      <w:start w:val="1"/>
      <w:numFmt w:val="decimal"/>
      <w:lvlText w:val="%1."/>
      <w:lvlJc w:val="left"/>
      <w:pPr>
        <w:ind w:left="720" w:hanging="360"/>
      </w:pPr>
    </w:lvl>
    <w:lvl w:ilvl="1" w:tplc="60787650">
      <w:start w:val="1"/>
      <w:numFmt w:val="lowerLetter"/>
      <w:lvlText w:val="%2."/>
      <w:lvlJc w:val="left"/>
      <w:pPr>
        <w:ind w:left="1440" w:hanging="360"/>
      </w:pPr>
    </w:lvl>
    <w:lvl w:ilvl="2" w:tplc="70921D4A">
      <w:start w:val="1"/>
      <w:numFmt w:val="lowerRoman"/>
      <w:lvlText w:val="%3."/>
      <w:lvlJc w:val="right"/>
      <w:pPr>
        <w:ind w:left="2160" w:hanging="180"/>
      </w:pPr>
    </w:lvl>
    <w:lvl w:ilvl="3" w:tplc="E4F2AC0E">
      <w:start w:val="1"/>
      <w:numFmt w:val="decimal"/>
      <w:lvlText w:val="%4."/>
      <w:lvlJc w:val="left"/>
      <w:pPr>
        <w:ind w:left="2880" w:hanging="360"/>
      </w:pPr>
    </w:lvl>
    <w:lvl w:ilvl="4" w:tplc="3216E512">
      <w:start w:val="1"/>
      <w:numFmt w:val="lowerLetter"/>
      <w:lvlText w:val="%5."/>
      <w:lvlJc w:val="left"/>
      <w:pPr>
        <w:ind w:left="3600" w:hanging="360"/>
      </w:pPr>
    </w:lvl>
    <w:lvl w:ilvl="5" w:tplc="661CA30E">
      <w:start w:val="1"/>
      <w:numFmt w:val="lowerRoman"/>
      <w:lvlText w:val="%6."/>
      <w:lvlJc w:val="right"/>
      <w:pPr>
        <w:ind w:left="4320" w:hanging="180"/>
      </w:pPr>
    </w:lvl>
    <w:lvl w:ilvl="6" w:tplc="D7C6664E">
      <w:start w:val="1"/>
      <w:numFmt w:val="decimal"/>
      <w:lvlText w:val="%7."/>
      <w:lvlJc w:val="left"/>
      <w:pPr>
        <w:ind w:left="5040" w:hanging="360"/>
      </w:pPr>
    </w:lvl>
    <w:lvl w:ilvl="7" w:tplc="58345F2C">
      <w:start w:val="1"/>
      <w:numFmt w:val="lowerLetter"/>
      <w:lvlText w:val="%8."/>
      <w:lvlJc w:val="left"/>
      <w:pPr>
        <w:ind w:left="5760" w:hanging="360"/>
      </w:pPr>
    </w:lvl>
    <w:lvl w:ilvl="8" w:tplc="7F6CE0C2">
      <w:start w:val="1"/>
      <w:numFmt w:val="lowerRoman"/>
      <w:lvlText w:val="%9."/>
      <w:lvlJc w:val="right"/>
      <w:pPr>
        <w:ind w:left="6480" w:hanging="180"/>
      </w:pPr>
    </w:lvl>
  </w:abstractNum>
  <w:abstractNum w:abstractNumId="3" w15:restartNumberingAfterBreak="0">
    <w:nsid w:val="39F236E7"/>
    <w:multiLevelType w:val="hybridMultilevel"/>
    <w:tmpl w:val="91306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1F0229"/>
    <w:multiLevelType w:val="hybridMultilevel"/>
    <w:tmpl w:val="0D3E7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5A6403"/>
    <w:multiLevelType w:val="hybridMultilevel"/>
    <w:tmpl w:val="4A9E2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100B71"/>
    <w:multiLevelType w:val="hybridMultilevel"/>
    <w:tmpl w:val="4D88D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49552E"/>
    <w:multiLevelType w:val="hybridMultilevel"/>
    <w:tmpl w:val="220A2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7145E8"/>
    <w:multiLevelType w:val="hybridMultilevel"/>
    <w:tmpl w:val="101EB8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6"/>
  </w:num>
  <w:num w:numId="4">
    <w:abstractNumId w:val="8"/>
  </w:num>
  <w:num w:numId="5">
    <w:abstractNumId w:val="3"/>
  </w:num>
  <w:num w:numId="6">
    <w:abstractNumId w:val="4"/>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034"/>
    <w:rsid w:val="00022735"/>
    <w:rsid w:val="00121AE3"/>
    <w:rsid w:val="00345E0D"/>
    <w:rsid w:val="00522034"/>
    <w:rsid w:val="005805E5"/>
    <w:rsid w:val="00583AFF"/>
    <w:rsid w:val="00624941"/>
    <w:rsid w:val="00815365"/>
    <w:rsid w:val="008419F6"/>
    <w:rsid w:val="009A0E85"/>
    <w:rsid w:val="00AD38EA"/>
    <w:rsid w:val="00B17424"/>
    <w:rsid w:val="00B22928"/>
    <w:rsid w:val="00B22D0E"/>
    <w:rsid w:val="00B80605"/>
    <w:rsid w:val="00C058B9"/>
    <w:rsid w:val="00D35B03"/>
    <w:rsid w:val="00DF55D4"/>
    <w:rsid w:val="00E67602"/>
    <w:rsid w:val="00E81BDC"/>
    <w:rsid w:val="00EB2165"/>
    <w:rsid w:val="00EC0634"/>
    <w:rsid w:val="00EC7B97"/>
    <w:rsid w:val="00F24897"/>
    <w:rsid w:val="36414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9458F"/>
  <w15:chartTrackingRefBased/>
  <w15:docId w15:val="{252B5FC2-F004-4523-97CE-5BA3D237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5220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
    <w:name w:val="p1"/>
    <w:basedOn w:val="Normal"/>
    <w:rsid w:val="005220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
    <w:name w:val="p2"/>
    <w:basedOn w:val="Normal"/>
    <w:rsid w:val="005220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
    <w:name w:val="p3"/>
    <w:basedOn w:val="Normal"/>
    <w:rsid w:val="005220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22034"/>
  </w:style>
  <w:style w:type="paragraph" w:customStyle="1" w:styleId="p4">
    <w:name w:val="p4"/>
    <w:basedOn w:val="Normal"/>
    <w:rsid w:val="005220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t5">
    <w:name w:val="ft5"/>
    <w:basedOn w:val="DefaultParagraphFont"/>
    <w:rsid w:val="00522034"/>
  </w:style>
  <w:style w:type="character" w:customStyle="1" w:styleId="ft6">
    <w:name w:val="ft6"/>
    <w:basedOn w:val="DefaultParagraphFont"/>
    <w:rsid w:val="00522034"/>
  </w:style>
  <w:style w:type="paragraph" w:customStyle="1" w:styleId="p5">
    <w:name w:val="p5"/>
    <w:basedOn w:val="Normal"/>
    <w:rsid w:val="005220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6">
    <w:name w:val="p6"/>
    <w:basedOn w:val="Normal"/>
    <w:rsid w:val="005220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t4">
    <w:name w:val="ft4"/>
    <w:basedOn w:val="DefaultParagraphFont"/>
    <w:rsid w:val="00522034"/>
  </w:style>
  <w:style w:type="paragraph" w:customStyle="1" w:styleId="p7">
    <w:name w:val="p7"/>
    <w:basedOn w:val="Normal"/>
    <w:rsid w:val="005220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8">
    <w:name w:val="p8"/>
    <w:basedOn w:val="Normal"/>
    <w:rsid w:val="005220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52203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22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3">
    <w:name w:val="p13"/>
    <w:basedOn w:val="Normal"/>
    <w:rsid w:val="005220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4">
    <w:name w:val="p14"/>
    <w:basedOn w:val="Normal"/>
    <w:rsid w:val="005220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5220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22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243522">
      <w:bodyDiv w:val="1"/>
      <w:marLeft w:val="0"/>
      <w:marRight w:val="0"/>
      <w:marTop w:val="0"/>
      <w:marBottom w:val="0"/>
      <w:divBdr>
        <w:top w:val="none" w:sz="0" w:space="0" w:color="auto"/>
        <w:left w:val="none" w:sz="0" w:space="0" w:color="auto"/>
        <w:bottom w:val="none" w:sz="0" w:space="0" w:color="auto"/>
        <w:right w:val="none" w:sz="0" w:space="0" w:color="auto"/>
      </w:divBdr>
    </w:div>
    <w:div w:id="991981004">
      <w:bodyDiv w:val="1"/>
      <w:marLeft w:val="0"/>
      <w:marRight w:val="0"/>
      <w:marTop w:val="0"/>
      <w:marBottom w:val="0"/>
      <w:divBdr>
        <w:top w:val="none" w:sz="0" w:space="0" w:color="auto"/>
        <w:left w:val="none" w:sz="0" w:space="0" w:color="auto"/>
        <w:bottom w:val="none" w:sz="0" w:space="0" w:color="auto"/>
        <w:right w:val="none" w:sz="0" w:space="0" w:color="auto"/>
      </w:divBdr>
    </w:div>
    <w:div w:id="1047679469">
      <w:bodyDiv w:val="1"/>
      <w:marLeft w:val="0"/>
      <w:marRight w:val="0"/>
      <w:marTop w:val="0"/>
      <w:marBottom w:val="0"/>
      <w:divBdr>
        <w:top w:val="none" w:sz="0" w:space="0" w:color="auto"/>
        <w:left w:val="none" w:sz="0" w:space="0" w:color="auto"/>
        <w:bottom w:val="none" w:sz="0" w:space="0" w:color="auto"/>
        <w:right w:val="none" w:sz="0" w:space="0" w:color="auto"/>
      </w:divBdr>
      <w:divsChild>
        <w:div w:id="1687248716">
          <w:marLeft w:val="1005"/>
          <w:marRight w:val="0"/>
          <w:marTop w:val="1440"/>
          <w:marBottom w:val="1455"/>
          <w:divBdr>
            <w:top w:val="none" w:sz="0" w:space="0" w:color="auto"/>
            <w:left w:val="none" w:sz="0" w:space="0" w:color="auto"/>
            <w:bottom w:val="none" w:sz="0" w:space="0" w:color="auto"/>
            <w:right w:val="none" w:sz="0" w:space="0" w:color="auto"/>
          </w:divBdr>
          <w:divsChild>
            <w:div w:id="317266249">
              <w:marLeft w:val="435"/>
              <w:marRight w:val="0"/>
              <w:marTop w:val="2610"/>
              <w:marBottom w:val="0"/>
              <w:divBdr>
                <w:top w:val="none" w:sz="0" w:space="0" w:color="auto"/>
                <w:left w:val="none" w:sz="0" w:space="0" w:color="auto"/>
                <w:bottom w:val="none" w:sz="0" w:space="0" w:color="auto"/>
                <w:right w:val="none" w:sz="0" w:space="0" w:color="auto"/>
              </w:divBdr>
            </w:div>
            <w:div w:id="1082600203">
              <w:marLeft w:val="120"/>
              <w:marRight w:val="0"/>
              <w:marTop w:val="210"/>
              <w:marBottom w:val="0"/>
              <w:divBdr>
                <w:top w:val="none" w:sz="0" w:space="0" w:color="auto"/>
                <w:left w:val="none" w:sz="0" w:space="0" w:color="auto"/>
                <w:bottom w:val="none" w:sz="0" w:space="0" w:color="auto"/>
                <w:right w:val="none" w:sz="0" w:space="0" w:color="auto"/>
              </w:divBdr>
              <w:divsChild>
                <w:div w:id="338041245">
                  <w:marLeft w:val="0"/>
                  <w:marRight w:val="0"/>
                  <w:marTop w:val="135"/>
                  <w:marBottom w:val="0"/>
                  <w:divBdr>
                    <w:top w:val="none" w:sz="0" w:space="0" w:color="auto"/>
                    <w:left w:val="none" w:sz="0" w:space="0" w:color="auto"/>
                    <w:bottom w:val="none" w:sz="0" w:space="0" w:color="auto"/>
                    <w:right w:val="none" w:sz="0" w:space="0" w:color="auto"/>
                  </w:divBdr>
                </w:div>
                <w:div w:id="5277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8227">
          <w:marLeft w:val="1005"/>
          <w:marRight w:val="0"/>
          <w:marTop w:val="1425"/>
          <w:marBottom w:val="1530"/>
          <w:divBdr>
            <w:top w:val="none" w:sz="0" w:space="0" w:color="auto"/>
            <w:left w:val="none" w:sz="0" w:space="0" w:color="auto"/>
            <w:bottom w:val="none" w:sz="0" w:space="0" w:color="auto"/>
            <w:right w:val="none" w:sz="0" w:space="0" w:color="auto"/>
          </w:divBdr>
        </w:div>
      </w:divsChild>
    </w:div>
    <w:div w:id="1069689133">
      <w:bodyDiv w:val="1"/>
      <w:marLeft w:val="0"/>
      <w:marRight w:val="0"/>
      <w:marTop w:val="0"/>
      <w:marBottom w:val="0"/>
      <w:divBdr>
        <w:top w:val="none" w:sz="0" w:space="0" w:color="auto"/>
        <w:left w:val="none" w:sz="0" w:space="0" w:color="auto"/>
        <w:bottom w:val="none" w:sz="0" w:space="0" w:color="auto"/>
        <w:right w:val="none" w:sz="0" w:space="0" w:color="auto"/>
      </w:divBdr>
    </w:div>
    <w:div w:id="1281382162">
      <w:bodyDiv w:val="1"/>
      <w:marLeft w:val="0"/>
      <w:marRight w:val="0"/>
      <w:marTop w:val="0"/>
      <w:marBottom w:val="0"/>
      <w:divBdr>
        <w:top w:val="none" w:sz="0" w:space="0" w:color="auto"/>
        <w:left w:val="none" w:sz="0" w:space="0" w:color="auto"/>
        <w:bottom w:val="none" w:sz="0" w:space="0" w:color="auto"/>
        <w:right w:val="none" w:sz="0" w:space="0" w:color="auto"/>
      </w:divBdr>
    </w:div>
    <w:div w:id="1525365879">
      <w:bodyDiv w:val="1"/>
      <w:marLeft w:val="0"/>
      <w:marRight w:val="0"/>
      <w:marTop w:val="0"/>
      <w:marBottom w:val="0"/>
      <w:divBdr>
        <w:top w:val="none" w:sz="0" w:space="0" w:color="auto"/>
        <w:left w:val="none" w:sz="0" w:space="0" w:color="auto"/>
        <w:bottom w:val="none" w:sz="0" w:space="0" w:color="auto"/>
        <w:right w:val="none" w:sz="0" w:space="0" w:color="auto"/>
      </w:divBdr>
      <w:divsChild>
        <w:div w:id="1017075060">
          <w:marLeft w:val="1005"/>
          <w:marRight w:val="0"/>
          <w:marTop w:val="1440"/>
          <w:marBottom w:val="1455"/>
          <w:divBdr>
            <w:top w:val="none" w:sz="0" w:space="0" w:color="auto"/>
            <w:left w:val="none" w:sz="0" w:space="0" w:color="auto"/>
            <w:bottom w:val="none" w:sz="0" w:space="0" w:color="auto"/>
            <w:right w:val="none" w:sz="0" w:space="0" w:color="auto"/>
          </w:divBdr>
          <w:divsChild>
            <w:div w:id="408818257">
              <w:marLeft w:val="120"/>
              <w:marRight w:val="0"/>
              <w:marTop w:val="210"/>
              <w:marBottom w:val="0"/>
              <w:divBdr>
                <w:top w:val="none" w:sz="0" w:space="0" w:color="auto"/>
                <w:left w:val="none" w:sz="0" w:space="0" w:color="auto"/>
                <w:bottom w:val="none" w:sz="0" w:space="0" w:color="auto"/>
                <w:right w:val="none" w:sz="0" w:space="0" w:color="auto"/>
              </w:divBdr>
              <w:divsChild>
                <w:div w:id="1825124303">
                  <w:marLeft w:val="0"/>
                  <w:marRight w:val="0"/>
                  <w:marTop w:val="135"/>
                  <w:marBottom w:val="0"/>
                  <w:divBdr>
                    <w:top w:val="none" w:sz="0" w:space="0" w:color="auto"/>
                    <w:left w:val="none" w:sz="0" w:space="0" w:color="auto"/>
                    <w:bottom w:val="none" w:sz="0" w:space="0" w:color="auto"/>
                    <w:right w:val="none" w:sz="0" w:space="0" w:color="auto"/>
                  </w:divBdr>
                </w:div>
                <w:div w:id="108468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29372">
          <w:marLeft w:val="1005"/>
          <w:marRight w:val="0"/>
          <w:marTop w:val="1425"/>
          <w:marBottom w:val="1530"/>
          <w:divBdr>
            <w:top w:val="none" w:sz="0" w:space="0" w:color="auto"/>
            <w:left w:val="none" w:sz="0" w:space="0" w:color="auto"/>
            <w:bottom w:val="none" w:sz="0" w:space="0" w:color="auto"/>
            <w:right w:val="none" w:sz="0" w:space="0" w:color="auto"/>
          </w:divBdr>
        </w:div>
      </w:divsChild>
    </w:div>
    <w:div w:id="1651860061">
      <w:bodyDiv w:val="1"/>
      <w:marLeft w:val="0"/>
      <w:marRight w:val="0"/>
      <w:marTop w:val="0"/>
      <w:marBottom w:val="0"/>
      <w:divBdr>
        <w:top w:val="none" w:sz="0" w:space="0" w:color="auto"/>
        <w:left w:val="none" w:sz="0" w:space="0" w:color="auto"/>
        <w:bottom w:val="none" w:sz="0" w:space="0" w:color="auto"/>
        <w:right w:val="none" w:sz="0" w:space="0" w:color="auto"/>
      </w:divBdr>
    </w:div>
    <w:div w:id="2133787449">
      <w:bodyDiv w:val="1"/>
      <w:marLeft w:val="0"/>
      <w:marRight w:val="0"/>
      <w:marTop w:val="0"/>
      <w:marBottom w:val="0"/>
      <w:divBdr>
        <w:top w:val="none" w:sz="0" w:space="0" w:color="auto"/>
        <w:left w:val="none" w:sz="0" w:space="0" w:color="auto"/>
        <w:bottom w:val="none" w:sz="0" w:space="0" w:color="auto"/>
        <w:right w:val="none" w:sz="0" w:space="0" w:color="auto"/>
      </w:divBdr>
    </w:div>
    <w:div w:id="214553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29D049A6B6A84ABB06B21618163407" ma:contentTypeVersion="4" ma:contentTypeDescription="Create a new document." ma:contentTypeScope="" ma:versionID="beed82daaa14725f63dae2251e8c40c4">
  <xsd:schema xmlns:xsd="http://www.w3.org/2001/XMLSchema" xmlns:xs="http://www.w3.org/2001/XMLSchema" xmlns:p="http://schemas.microsoft.com/office/2006/metadata/properties" xmlns:ns2="62a726e8-a9d3-4d51-bc25-01f907ee122b" xmlns:ns3="3e07139d-20a8-46e3-894b-7b17c8812188" targetNamespace="http://schemas.microsoft.com/office/2006/metadata/properties" ma:root="true" ma:fieldsID="805de5834f987bcc017b469f9894df29" ns2:_="" ns3:_="">
    <xsd:import namespace="62a726e8-a9d3-4d51-bc25-01f907ee122b"/>
    <xsd:import namespace="3e07139d-20a8-46e3-894b-7b17c88121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726e8-a9d3-4d51-bc25-01f907ee12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7139d-20a8-46e3-894b-7b17c881218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2a726e8-a9d3-4d51-bc25-01f907ee122b">
      <UserInfo>
        <DisplayName>Clegg, Gillian</DisplayName>
        <AccountId>13</AccountId>
        <AccountType/>
      </UserInfo>
    </SharedWithUsers>
  </documentManagement>
</p:properties>
</file>

<file path=customXml/itemProps1.xml><?xml version="1.0" encoding="utf-8"?>
<ds:datastoreItem xmlns:ds="http://schemas.openxmlformats.org/officeDocument/2006/customXml" ds:itemID="{D88C091D-45EF-4309-BC17-F2F25362E542}"/>
</file>

<file path=customXml/itemProps2.xml><?xml version="1.0" encoding="utf-8"?>
<ds:datastoreItem xmlns:ds="http://schemas.openxmlformats.org/officeDocument/2006/customXml" ds:itemID="{34295679-F5BB-4942-B9D1-A6DB55D11BD7}"/>
</file>

<file path=customXml/itemProps3.xml><?xml version="1.0" encoding="utf-8"?>
<ds:datastoreItem xmlns:ds="http://schemas.openxmlformats.org/officeDocument/2006/customXml" ds:itemID="{3748F727-429E-44A9-8AAF-529C5519A4FE}"/>
</file>

<file path=docProps/app.xml><?xml version="1.0" encoding="utf-8"?>
<Properties xmlns="http://schemas.openxmlformats.org/officeDocument/2006/extended-properties" xmlns:vt="http://schemas.openxmlformats.org/officeDocument/2006/docPropsVTypes">
  <Template>Normal</Template>
  <TotalTime>64</TotalTime>
  <Pages>4</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Williams</dc:creator>
  <cp:keywords/>
  <dc:description/>
  <cp:lastModifiedBy>Clegg, Gillian</cp:lastModifiedBy>
  <cp:revision>7</cp:revision>
  <dcterms:created xsi:type="dcterms:W3CDTF">2017-04-25T06:03:00Z</dcterms:created>
  <dcterms:modified xsi:type="dcterms:W3CDTF">2017-07-20T09:03:00Z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0x010100C029D049A6B6A84ABB06B21618163407</vt:lpwstr>
  </property>
</Properties>
</file>